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62f79e06a426b" w:history="1">
              <w:r>
                <w:rPr>
                  <w:rStyle w:val="Hyperlink"/>
                </w:rPr>
                <w:t>中国企业财务全面管理及财务风险管理研究报告（2006）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62f79e06a426b" w:history="1">
              <w:r>
                <w:rPr>
                  <w:rStyle w:val="Hyperlink"/>
                </w:rPr>
                <w:t>中国企业财务全面管理及财务风险管理研究报告（2006）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a62f79e06a426b" w:history="1">
                <w:r>
                  <w:rPr>
                    <w:rStyle w:val="Hyperlink"/>
                  </w:rPr>
                  <w:t>https://www.20087.com/2007-01/R_zhongguoqiyecaiwuquanmianguanlijicaiBaoGao.html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绪论 8-</w:t>
      </w:r>
      <w:r>
        <w:rPr>
          <w:rFonts w:hint="eastAsia"/>
        </w:rPr>
        <w:br/>
      </w:r>
      <w:r>
        <w:rPr>
          <w:rFonts w:hint="eastAsia"/>
        </w:rPr>
        <w:t>第二章 企业财务风险的监测与预警 16-</w:t>
      </w:r>
      <w:r>
        <w:rPr>
          <w:rFonts w:hint="eastAsia"/>
        </w:rPr>
        <w:br/>
      </w:r>
      <w:r>
        <w:rPr>
          <w:rFonts w:hint="eastAsia"/>
        </w:rPr>
        <w:t>　　第一节 财务风险监测指标的设计 16-</w:t>
      </w:r>
      <w:r>
        <w:rPr>
          <w:rFonts w:hint="eastAsia"/>
        </w:rPr>
        <w:br/>
      </w:r>
      <w:r>
        <w:rPr>
          <w:rFonts w:hint="eastAsia"/>
        </w:rPr>
        <w:t>　　第二节 企业财务风险的预警系统 19-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企业财务风险的适时管理 27-</w:t>
      </w:r>
      <w:r>
        <w:rPr>
          <w:rFonts w:hint="eastAsia"/>
        </w:rPr>
        <w:br/>
      </w:r>
      <w:r>
        <w:rPr>
          <w:rFonts w:hint="eastAsia"/>
        </w:rPr>
        <w:t>　　第一节 风险适时管理的基本步骤 27-</w:t>
      </w:r>
      <w:r>
        <w:rPr>
          <w:rFonts w:hint="eastAsia"/>
        </w:rPr>
        <w:br/>
      </w:r>
      <w:r>
        <w:rPr>
          <w:rFonts w:hint="eastAsia"/>
        </w:rPr>
        <w:t>　　第二节 风险适时管理的策略创新 28-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企业财务危机的扭转 32-</w:t>
      </w:r>
      <w:r>
        <w:rPr>
          <w:rFonts w:hint="eastAsia"/>
        </w:rPr>
        <w:br/>
      </w:r>
      <w:r>
        <w:rPr>
          <w:rFonts w:hint="eastAsia"/>
        </w:rPr>
        <w:t>　　第一节 企业财务危机的成因分析 32-</w:t>
      </w:r>
      <w:r>
        <w:rPr>
          <w:rFonts w:hint="eastAsia"/>
        </w:rPr>
        <w:br/>
      </w:r>
      <w:r>
        <w:rPr>
          <w:rFonts w:hint="eastAsia"/>
        </w:rPr>
        <w:t>　　第二节 中:智林：企业财务危机的扭转策略 33-</w:t>
      </w:r>
      <w:r>
        <w:rPr>
          <w:rFonts w:hint="eastAsia"/>
        </w:rPr>
        <w:br/>
      </w:r>
      <w:r>
        <w:rPr>
          <w:rFonts w:hint="eastAsia"/>
        </w:rPr>
        <w:t>　　结论 37-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62f79e06a426b" w:history="1">
        <w:r>
          <w:rPr>
            <w:rStyle w:val="Hyperlink"/>
          </w:rPr>
          <w:t>中国企业财务全面管理及财务风险管理研究报告（2006）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a62f79e06a426b" w:history="1">
        <w:r>
          <w:rPr>
            <w:rStyle w:val="Hyperlink"/>
          </w:rPr>
          <w:t>https://www.20087.com/2007-01/R_zhongguoqiyecaiwuquanmianguanlijicaiBaoGao.html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fe2405f864d72" w:history="1">
      <w:r>
        <w:rPr>
          <w:rStyle w:val="Hyperlink"/>
        </w:rPr>
        <w:t>中国企业财务全面管理及财务风险管理研究报告（2006）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qiyecaiwuquanmianguanlijicaiBaoGao.html" TargetMode="External" Id="R1aa62f79e06a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qiyecaiwuquanmianguanlijicaiBaoGao.html" TargetMode="External" Id="R87dfe2405f86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2007-01-17T00:57:00Z</dcterms:created>
  <dcterms:modified xsi:type="dcterms:W3CDTF">2007-01-17T01:57:00Z</dcterms:modified>
  <dc:subject>中国企业财务全面管理及财务风险管理研究报告（2006）</dc:subject>
  <dc:title>中国企业财务全面管理及财务风险管理研究报告（2006）</dc:title>
  <cp:keywords>中国企业财务全面管理及财务风险管理研究报告（2006）</cp:keywords>
  <dc:description>中国企业财务全面管理及财务风险管理研究报告（2006）</dc:description>
</cp:coreProperties>
</file>