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b39ce95054d92" w:history="1">
              <w:r>
                <w:rPr>
                  <w:rStyle w:val="Hyperlink"/>
                </w:rPr>
                <w:t>其他医疗设备及器械制造行业竞争对手经营监测报告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b39ce95054d92" w:history="1">
              <w:r>
                <w:rPr>
                  <w:rStyle w:val="Hyperlink"/>
                </w:rPr>
                <w:t>其他医疗设备及器械制造行业竞争对手经营监测报告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b39ce95054d92" w:history="1">
                <w:r>
                  <w:rPr>
                    <w:rStyle w:val="Hyperlink"/>
                  </w:rPr>
                  <w:t>https://www.20087.com/2007-11/R_qitayiliaoshebeijiqixiezhizaojingzheBaoGao.html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其他医疗设备及器械制造行业运营监控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中.智.林.企业运营分析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三、企业经盈利能力分析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六、企华业现金流量分析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2007年其他医疗设备及纵器械制造行业资产状况分析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2007年其他医疗设备及器械制造行业负债状况分析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图表2006-2007年企业盈利能力横情况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b39ce95054d92" w:history="1">
        <w:r>
          <w:rPr>
            <w:rStyle w:val="Hyperlink"/>
          </w:rPr>
          <w:t>其他医疗设备及器械制造行业竞争对手经营监测报告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b39ce95054d92" w:history="1">
        <w:r>
          <w:rPr>
            <w:rStyle w:val="Hyperlink"/>
          </w:rPr>
          <w:t>https://www.20087.com/2007-11/R_qitayiliaoshebeijiqixiezhizaojingzheBaoGao.html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203901a8e4ba3" w:history="1">
      <w:r>
        <w:rPr>
          <w:rStyle w:val="Hyperlink"/>
        </w:rPr>
        <w:t>其他医疗设备及器械制造行业竞争对手经营监测报告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tayiliaoshebeijiqixiezhizaojingzheBaoGao.html" TargetMode="External" Id="R98eb39ce950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tayiliaoshebeijiqixiezhizaojingzheBaoGao.html" TargetMode="External" Id="R994203901a8e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2007-11-13T06:06:00Z</dcterms:created>
  <dcterms:modified xsi:type="dcterms:W3CDTF">2007-11-13T07:06:00Z</dcterms:modified>
  <dc:subject>其他医疗设备及器械制造行业竞争对手经营监测报告</dc:subject>
  <dc:title>其他医疗设备及器械制造行业竞争对手经营监测报告</dc:title>
  <cp:keywords>其他医疗设备及器械制造行业竞争对手经营监测报告</cp:keywords>
  <dc:description>其他医疗设备及器械制造行业竞争对手经营监测报告</dc:description>
</cp:coreProperties>
</file>