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7962fe2c4def" w:history="1">
              <w:r>
                <w:rPr>
                  <w:rStyle w:val="Hyperlink"/>
                </w:rPr>
                <w:t>化学药品原药行业竞争对手经营监测报告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7962fe2c4def" w:history="1">
              <w:r>
                <w:rPr>
                  <w:rStyle w:val="Hyperlink"/>
                </w:rPr>
                <w:t>化学药品原药行业竞争对手经营监测报告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67962fe2c4def" w:history="1">
                <w:r>
                  <w:rPr>
                    <w:rStyle w:val="Hyperlink"/>
                  </w:rPr>
                  <w:t>https://www.20087.com/2007-11/R_huaxueyaopinyuanyaojingzhengduishoujBaoGao.html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化学药品原药行业运营监控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七、信息华化建设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(中^智^林)企业运营分析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五、企业成经本费用分析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2006-2007纵年企业资产负债情况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图表2006-2007年企业现金流量横分析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7962fe2c4def" w:history="1">
        <w:r>
          <w:rPr>
            <w:rStyle w:val="Hyperlink"/>
          </w:rPr>
          <w:t>化学药品原药行业竞争对手经营监测报告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67962fe2c4def" w:history="1">
        <w:r>
          <w:rPr>
            <w:rStyle w:val="Hyperlink"/>
          </w:rPr>
          <w:t>https://www.20087.com/2007-11/R_huaxueyaopinyuanyaojingzhengduishoujBaoGao.html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6065ebfb467d" w:history="1">
      <w:r>
        <w:rPr>
          <w:rStyle w:val="Hyperlink"/>
        </w:rPr>
        <w:t>化学药品原药行业竞争对手经营监测报告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jingzhengduishoujBaoGao.html" TargetMode="External" Id="Re6467962fe2c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jingzhengduishoujBaoGao.html" TargetMode="External" Id="Rb4ae6065ebf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2007-11-19T07:13:00Z</dcterms:created>
  <dcterms:modified xsi:type="dcterms:W3CDTF">2007-11-19T08:13:00Z</dcterms:modified>
  <dc:subject>化学药品原药行业竞争对手经营监测报告</dc:subject>
  <dc:title>化学药品原药行业竞争对手经营监测报告</dc:title>
  <cp:keywords>化学药品原药行业竞争对手经营监测报告</cp:keywords>
  <dc:description>化学药品原药行业竞争对手经营监测报告</dc:description>
</cp:coreProperties>
</file>