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c9b2e72a4d3e" w:history="1">
              <w:r>
                <w:rPr>
                  <w:rStyle w:val="Hyperlink"/>
                </w:rPr>
                <w:t>变压器、整流器和电感器制造行业竞争对手经营监测报告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c9b2e72a4d3e" w:history="1">
              <w:r>
                <w:rPr>
                  <w:rStyle w:val="Hyperlink"/>
                </w:rPr>
                <w:t>变压器、整流器和电感器制造行业竞争对手经营监测报告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0c9b2e72a4d3e" w:history="1">
                <w:r>
                  <w:rPr>
                    <w:rStyle w:val="Hyperlink"/>
                  </w:rPr>
                  <w:t>https://www.20087.com/2007-11/R_bianyaqizhengliuqihedianganqizhizaojBaoGao.html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变压器、整流器华和电感器制造行业运营监控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三、营销经策略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(中-智-林)企业运营分析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c9b2e72a4d3e" w:history="1">
        <w:r>
          <w:rPr>
            <w:rStyle w:val="Hyperlink"/>
          </w:rPr>
          <w:t>变压器、整流器和电感器制造行业竞争对手经营监测报告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0c9b2e72a4d3e" w:history="1">
        <w:r>
          <w:rPr>
            <w:rStyle w:val="Hyperlink"/>
          </w:rPr>
          <w:t>https://www.20087.com/2007-11/R_bianyaqizhengliuqihedianganqizhizaojBaoGao.html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f89db0e7c4edb" w:history="1">
      <w:r>
        <w:rPr>
          <w:rStyle w:val="Hyperlink"/>
        </w:rPr>
        <w:t>变压器、整流器和电感器制造行业竞争对手经营监测报告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jBaoGao.html" TargetMode="External" Id="Rd6f0c9b2e72a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jBaoGao.html" TargetMode="External" Id="Rfb1f89db0e7c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2007-11-07T05:14:00Z</dcterms:created>
  <dcterms:modified xsi:type="dcterms:W3CDTF">2007-11-07T06:14:00Z</dcterms:modified>
  <dc:subject>变压器、整流器和电感器制造行业竞争对手经营监测报告</dc:subject>
  <dc:title>变压器、整流器和电感器制造行业竞争对手经营监测报告</dc:title>
  <cp:keywords>变压器、整流器和电感器制造行业竞争对手经营监测报告</cp:keywords>
  <dc:description>变压器、整流器和电感器制造行业竞争对手经营监测报告</dc:description>
</cp:coreProperties>
</file>