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0f725fc1a43ff" w:history="1">
              <w:r>
                <w:rPr>
                  <w:rStyle w:val="Hyperlink"/>
                </w:rPr>
                <w:t>水力发电行业竞争对手经营监测报告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0f725fc1a43ff" w:history="1">
              <w:r>
                <w:rPr>
                  <w:rStyle w:val="Hyperlink"/>
                </w:rPr>
                <w:t>水力发电行业竞争对手经营监测报告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0f725fc1a43ff" w:history="1">
                <w:r>
                  <w:rPr>
                    <w:rStyle w:val="Hyperlink"/>
                  </w:rPr>
                  <w:t>https://www.20087.com/2007-11/R_shuilifadianjingzhengduishoujingyingBaoGao.html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水力发电行业运营监控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二、进出口华情况分析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六、信息化建设</w:t>
      </w:r>
      <w:r>
        <w:rPr>
          <w:rFonts w:hint="eastAsia"/>
        </w:rPr>
        <w:br/>
      </w:r>
      <w:r>
        <w:rPr>
          <w:rFonts w:hint="eastAsia"/>
        </w:rPr>
        <w:t>　　第三章 中-智林-：企业运营分析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四、企业运营能经力分析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0f725fc1a43ff" w:history="1">
        <w:r>
          <w:rPr>
            <w:rStyle w:val="Hyperlink"/>
          </w:rPr>
          <w:t>水力发电行业竞争对手经营监测报告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0f725fc1a43ff" w:history="1">
        <w:r>
          <w:rPr>
            <w:rStyle w:val="Hyperlink"/>
          </w:rPr>
          <w:t>https://www.20087.com/2007-11/R_shuilifadianjingzhengduishoujingyingBaoGao.html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e259b9d504be8" w:history="1">
      <w:r>
        <w:rPr>
          <w:rStyle w:val="Hyperlink"/>
        </w:rPr>
        <w:t>水力发电行业竞争对手经营监测报告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uilifadianjingzhengduishoujingyingBaoGao.html" TargetMode="External" Id="R2070f725fc1a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uilifadianjingzhengduishoujingyingBaoGao.html" TargetMode="External" Id="Rfdde259b9d50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2007-11-05T04:54:00Z</dcterms:created>
  <dcterms:modified xsi:type="dcterms:W3CDTF">2007-11-05T05:54:00Z</dcterms:modified>
  <dc:subject>水力发电行业竞争对手经营监测报告</dc:subject>
  <dc:title>水力发电行业竞争对手经营监测报告</dc:title>
  <cp:keywords>水力发电行业竞争对手经营监测报告</cp:keywords>
  <dc:description>水力发电行业竞争对手经营监测报告</dc:description>
</cp:coreProperties>
</file>