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93810e5844e24" w:history="1">
              <w:r>
                <w:rPr>
                  <w:rStyle w:val="Hyperlink"/>
                </w:rPr>
                <w:t>稀土金属冶炼行业重点企业专利技术动态监测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93810e5844e24" w:history="1">
              <w:r>
                <w:rPr>
                  <w:rStyle w:val="Hyperlink"/>
                </w:rPr>
                <w:t>稀土金属冶炼行业重点企业专利技术动态监测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f93810e5844e24" w:history="1">
                <w:r>
                  <w:rPr>
                    <w:rStyle w:val="Hyperlink"/>
                  </w:rPr>
                  <w:t>https://www.20087.com/2007-11/R_xitujinshuyelianzhongdianqiyezhuanliBaoGao.html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三菱材料公司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神户制钢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三井造船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宁波韵升高科磁业有限公司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南京航空航天大学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潍坊华特磁电设备有限公司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包头文鑫实业有限公司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广西冶金研究所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中~智~林：专利诉讼动态监测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93810e5844e24" w:history="1">
        <w:r>
          <w:rPr>
            <w:rStyle w:val="Hyperlink"/>
          </w:rPr>
          <w:t>稀土金属冶炼行业重点企业专利技术动态监测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f93810e5844e24" w:history="1">
        <w:r>
          <w:rPr>
            <w:rStyle w:val="Hyperlink"/>
          </w:rPr>
          <w:t>https://www.20087.com/2007-11/R_xitujinshuyelianzhongdianqiyezhuanliBaoGao.html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962cc22aa4895" w:history="1">
      <w:r>
        <w:rPr>
          <w:rStyle w:val="Hyperlink"/>
        </w:rPr>
        <w:t>稀土金属冶炼行业重点企业专利技术动态监测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xitujinshuyelianzhongdianqiyezhuanliBaoGao.html" TargetMode="External" Id="Rf0f93810e584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xitujinshuyelianzhongdianqiyezhuanliBaoGao.html" TargetMode="External" Id="Rf23962cc22aa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2007-11-26T06:56:00Z</dcterms:created>
  <dcterms:modified xsi:type="dcterms:W3CDTF">2007-11-26T07:56:00Z</dcterms:modified>
  <dc:subject>稀土金属冶炼行业重点企业专利技术动态监测</dc:subject>
  <dc:title>稀土金属冶炼行业重点企业专利技术动态监测</dc:title>
  <cp:keywords>稀土金属冶炼行业重点企业专利技术动态监测</cp:keywords>
  <dc:description>稀土金属冶炼行业重点企业专利技术动态监测</dc:description>
</cp:coreProperties>
</file>