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7f414b4b54f4b" w:history="1">
              <w:r>
                <w:rPr>
                  <w:rStyle w:val="Hyperlink"/>
                </w:rPr>
                <w:t>风力发电行业竞争对手经营监测报告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7f414b4b54f4b" w:history="1">
              <w:r>
                <w:rPr>
                  <w:rStyle w:val="Hyperlink"/>
                </w:rPr>
                <w:t>风力发电行业竞争对手经营监测报告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7f414b4b54f4b" w:history="1">
                <w:r>
                  <w:rPr>
                    <w:rStyle w:val="Hyperlink"/>
                  </w:rPr>
                  <w:t>https://www.20087.com/2007-11/R_fenglifadianjingzhengduishoujingyingBaoGao.html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风力发电行业运营监控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二、财务分析</w:t>
      </w:r>
      <w:r>
        <w:rPr>
          <w:rFonts w:hint="eastAsia"/>
        </w:rPr>
        <w:br/>
      </w:r>
      <w:r>
        <w:rPr>
          <w:rFonts w:hint="eastAsia"/>
        </w:rPr>
        <w:t>　　三、价格分析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三、营销华策略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中:智:林:－企业运营分析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二、资产负债状经况分析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7f414b4b54f4b" w:history="1">
        <w:r>
          <w:rPr>
            <w:rStyle w:val="Hyperlink"/>
          </w:rPr>
          <w:t>风力发电行业竞争对手经营监测报告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7f414b4b54f4b" w:history="1">
        <w:r>
          <w:rPr>
            <w:rStyle w:val="Hyperlink"/>
          </w:rPr>
          <w:t>https://www.20087.com/2007-11/R_fenglifadianjingzhengduishoujingyingBaoGao.html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3d49c2304334" w:history="1">
      <w:r>
        <w:rPr>
          <w:rStyle w:val="Hyperlink"/>
        </w:rPr>
        <w:t>风力发电行业竞争对手经营监测报告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fenglifadianjingzhengduishoujingyingBaoGao.html" TargetMode="External" Id="Rbdf7f414b4b5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fenglifadianjingzhengduishoujingyingBaoGao.html" TargetMode="External" Id="R7bcc3d49c23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2007-11-07T04:37:00Z</dcterms:created>
  <dcterms:modified xsi:type="dcterms:W3CDTF">2007-11-07T05:37:00Z</dcterms:modified>
  <dc:subject>风力发电行业竞争对手经营监测报告</dc:subject>
  <dc:title>风力发电行业竞争对手经营监测报告</dc:title>
  <cp:keywords>风力发电行业竞争对手经营监测报告</cp:keywords>
  <dc:description>风力发电行业竞争对手经营监测报告</dc:description>
</cp:coreProperties>
</file>