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15579c6f1490b" w:history="1">
              <w:r>
                <w:rPr>
                  <w:rStyle w:val="Hyperlink"/>
                </w:rPr>
                <w:t>通信设备制造产业企业竞争力分析研究报告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15579c6f1490b" w:history="1">
              <w:r>
                <w:rPr>
                  <w:rStyle w:val="Hyperlink"/>
                </w:rPr>
                <w:t>通信设备制造产业企业竞争力分析研究报告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915579c6f1490b" w:history="1">
                <w:r>
                  <w:rPr>
                    <w:rStyle w:val="Hyperlink"/>
                  </w:rPr>
                  <w:t>https://www.20087.com/2007-12/R_tongxinshebeizhizaochanyeqiyejingzheBaoGao.html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二、国有不同规华模企业从业人数分析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二、总资产增经长率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二、通信设备制造行业主要企业价格策略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二、通信设备制造行业各企业技术研究新成果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通信设备制造行业发展趋势分析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二、通信设备制造行业子行业发展趋势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通信设备制造行业技术发展趋势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[.中.智.林]通信设备制造行业发展预测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一、2007年通信设备制造行业供需形势预测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二、2007年通纵信设备制造行业发展环境预测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一、通信设备制造行业投资方式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二、通信设备制造行业投资时机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三、通信设备制造行业投资方向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2006-2007年中兴通讯股份有限公司每股指标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2006-2007年中兴通讯股份有限公司利润构成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2006-2007年中兴通讯股份有限公司资金流量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2006-2007年烽火通信科技股份有限公司股本结构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2006-2007年烽火通信科技股份有限公司利润构成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2006-2007年烽火通横信科技股份有限公司发展能力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2006-2007年烽火通信科技股份有限公司资金流量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2006-2007年大唐电信科技股份有限公司股本结构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2006-2007年大唐电信科技股份有限公司利润构成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2006-2007年大唐电信科技股份有限公司资金流量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15579c6f1490b" w:history="1">
        <w:r>
          <w:rPr>
            <w:rStyle w:val="Hyperlink"/>
          </w:rPr>
          <w:t>通信设备制造产业企业竞争力分析研究报告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915579c6f1490b" w:history="1">
        <w:r>
          <w:rPr>
            <w:rStyle w:val="Hyperlink"/>
          </w:rPr>
          <w:t>https://www.20087.com/2007-12/R_tongxinshebeizhizaochanyeqiyejingzheBaoGao.html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7b3beaa0d4f39" w:history="1">
      <w:r>
        <w:rPr>
          <w:rStyle w:val="Hyperlink"/>
        </w:rPr>
        <w:t>通信设备制造产业企业竞争力分析研究报告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tongxinshebeizhizaochanyeqiyejingzheBaoGao.html" TargetMode="External" Id="Rdc915579c6f1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tongxinshebeizhizaochanyeqiyejingzheBaoGao.html" TargetMode="External" Id="R4de7b3beaa0d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2007-12-11T07:29:00Z</dcterms:created>
  <dcterms:modified xsi:type="dcterms:W3CDTF">2007-12-11T08:29:00Z</dcterms:modified>
  <dc:subject>通信设备制造产业企业竞争力分析研究报告</dc:subject>
  <dc:title>通信设备制造产业企业竞争力分析研究报告</dc:title>
  <cp:keywords>通信设备制造产业企业竞争力分析研究报告</cp:keywords>
  <dc:description>通信设备制造产业企业竞争力分析研究报告</dc:description>
</cp:coreProperties>
</file>