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19f7beba04c93" w:history="1">
              <w:r>
                <w:rPr>
                  <w:rStyle w:val="Hyperlink"/>
                </w:rPr>
                <w:t>2007-2008年中国生物农药行业区域投资机会分析研究报告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19f7beba04c93" w:history="1">
              <w:r>
                <w:rPr>
                  <w:rStyle w:val="Hyperlink"/>
                </w:rPr>
                <w:t>2007-2008年中国生物农药行业区域投资机会分析研究报告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19f7beba04c93" w:history="1">
                <w:r>
                  <w:rPr>
                    <w:rStyle w:val="Hyperlink"/>
                  </w:rPr>
                  <w:t>https://www.20087.com/2007-12/R_2007_2008shengwunongyaoquyutouzijihuBaoGao.html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生物农药行业运行分析</w:t>
      </w:r>
      <w:r>
        <w:rPr>
          <w:rFonts w:hint="eastAsia"/>
        </w:rPr>
        <w:br/>
      </w:r>
      <w:r>
        <w:rPr>
          <w:rFonts w:hint="eastAsia"/>
        </w:rPr>
        <w:t>　　　　一、生物农药行业发展现状</w:t>
      </w:r>
      <w:r>
        <w:rPr>
          <w:rFonts w:hint="eastAsia"/>
        </w:rPr>
        <w:br/>
      </w:r>
      <w:r>
        <w:rPr>
          <w:rFonts w:hint="eastAsia"/>
        </w:rPr>
        <w:t>　　　　二、生物农药行业数据分析</w:t>
      </w:r>
      <w:r>
        <w:rPr>
          <w:rFonts w:hint="eastAsia"/>
        </w:rPr>
        <w:br/>
      </w:r>
      <w:r>
        <w:rPr>
          <w:rFonts w:hint="eastAsia"/>
        </w:rPr>
        <w:t>　　第三节 生物农药行华业全国投资运行的基本态势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生物农药行业发展趋势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二、地区大事经迹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西南地区基本纵动态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中国生物农药产业投资现状分析</w:t>
      </w:r>
      <w:r>
        <w:rPr>
          <w:rFonts w:hint="eastAsia"/>
        </w:rPr>
        <w:br/>
      </w:r>
      <w:r>
        <w:rPr>
          <w:rFonts w:hint="eastAsia"/>
        </w:rPr>
        <w:t>　　第一节 中国生物农药的投资机遇分析</w:t>
      </w:r>
      <w:r>
        <w:rPr>
          <w:rFonts w:hint="eastAsia"/>
        </w:rPr>
        <w:br/>
      </w:r>
      <w:r>
        <w:rPr>
          <w:rFonts w:hint="eastAsia"/>
        </w:rPr>
        <w:t>　　　　一、国际市场对化学农药竞争的压力</w:t>
      </w:r>
      <w:r>
        <w:rPr>
          <w:rFonts w:hint="eastAsia"/>
        </w:rPr>
        <w:br/>
      </w:r>
      <w:r>
        <w:rPr>
          <w:rFonts w:hint="eastAsia"/>
        </w:rPr>
        <w:t>　　　　二、食品安全为生物农药带来的机遇</w:t>
      </w:r>
      <w:r>
        <w:rPr>
          <w:rFonts w:hint="eastAsia"/>
        </w:rPr>
        <w:br/>
      </w:r>
      <w:r>
        <w:rPr>
          <w:rFonts w:hint="eastAsia"/>
        </w:rPr>
        <w:t>　　　　三、环境保护为生物农药提供市场空间</w:t>
      </w:r>
      <w:r>
        <w:rPr>
          <w:rFonts w:hint="eastAsia"/>
        </w:rPr>
        <w:br/>
      </w:r>
      <w:r>
        <w:rPr>
          <w:rFonts w:hint="eastAsia"/>
        </w:rPr>
        <w:t>　　　　四、农产品出口贸易加大生物农药发展潜力</w:t>
      </w:r>
      <w:r>
        <w:rPr>
          <w:rFonts w:hint="eastAsia"/>
        </w:rPr>
        <w:br/>
      </w:r>
      <w:r>
        <w:rPr>
          <w:rFonts w:hint="eastAsia"/>
        </w:rPr>
        <w:t>　　第二节 生物农药投资动态</w:t>
      </w:r>
      <w:r>
        <w:rPr>
          <w:rFonts w:hint="eastAsia"/>
        </w:rPr>
        <w:br/>
      </w:r>
      <w:r>
        <w:rPr>
          <w:rFonts w:hint="eastAsia"/>
        </w:rPr>
        <w:t>　　　　一、山东鲁抗集团涉足生物农药领域</w:t>
      </w:r>
      <w:r>
        <w:rPr>
          <w:rFonts w:hint="eastAsia"/>
        </w:rPr>
        <w:br/>
      </w:r>
      <w:r>
        <w:rPr>
          <w:rFonts w:hint="eastAsia"/>
        </w:rPr>
        <w:t>　　　　二、世纪阳光欲投资千万开拓生物农药</w:t>
      </w:r>
      <w:r>
        <w:rPr>
          <w:rFonts w:hint="eastAsia"/>
        </w:rPr>
        <w:br/>
      </w:r>
      <w:r>
        <w:rPr>
          <w:rFonts w:hint="eastAsia"/>
        </w:rPr>
        <w:t>　　　　三、韩国农业产业龙头来华投资生物农药</w:t>
      </w:r>
      <w:r>
        <w:rPr>
          <w:rFonts w:hint="eastAsia"/>
        </w:rPr>
        <w:br/>
      </w:r>
      <w:r>
        <w:rPr>
          <w:rFonts w:hint="eastAsia"/>
        </w:rPr>
        <w:t>　　第三节 生物农药投横资方向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</w:t>
      </w:r>
      <w:r>
        <w:rPr>
          <w:rFonts w:hint="eastAsia"/>
        </w:rPr>
        <w:br/>
      </w:r>
      <w:r>
        <w:rPr>
          <w:rFonts w:hint="eastAsia"/>
        </w:rPr>
        <w:t>　　　　二、绿色生物农药是未来投资热点</w:t>
      </w:r>
      <w:r>
        <w:rPr>
          <w:rFonts w:hint="eastAsia"/>
        </w:rPr>
        <w:br/>
      </w:r>
      <w:r>
        <w:rPr>
          <w:rFonts w:hint="eastAsia"/>
        </w:rPr>
        <w:t>　　　　三、生物农药将最终取代化学农药</w:t>
      </w:r>
      <w:r>
        <w:rPr>
          <w:rFonts w:hint="eastAsia"/>
        </w:rPr>
        <w:br/>
      </w:r>
      <w:r>
        <w:rPr>
          <w:rFonts w:hint="eastAsia"/>
        </w:rPr>
        <w:t>　　第四节 生物农药投资价值分析</w:t>
      </w:r>
      <w:r>
        <w:rPr>
          <w:rFonts w:hint="eastAsia"/>
        </w:rPr>
        <w:br/>
      </w:r>
      <w:r>
        <w:rPr>
          <w:rFonts w:hint="eastAsia"/>
        </w:rPr>
        <w:t>　　第五节 生物农药投资效益分析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生物农药行业投资机会与风险分析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生物农药行业投资机会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生物农药行业投资风险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(中智^林)生物农药行业投资建议</w:t>
      </w:r>
      <w:r>
        <w:rPr>
          <w:rFonts w:hint="eastAsia"/>
        </w:rPr>
        <w:br/>
      </w:r>
      <w:r>
        <w:rPr>
          <w:rFonts w:hint="eastAsia"/>
        </w:rPr>
        <w:t>　　　　一、生物农药行业投资方式</w:t>
      </w:r>
      <w:r>
        <w:rPr>
          <w:rFonts w:hint="eastAsia"/>
        </w:rPr>
        <w:br/>
      </w:r>
      <w:r>
        <w:rPr>
          <w:rFonts w:hint="eastAsia"/>
        </w:rPr>
        <w:t>　　　　二、生物农药行业投资时机</w:t>
      </w:r>
      <w:r>
        <w:rPr>
          <w:rFonts w:hint="eastAsia"/>
        </w:rPr>
        <w:br/>
      </w:r>
      <w:r>
        <w:rPr>
          <w:rFonts w:hint="eastAsia"/>
        </w:rPr>
        <w:t>　　　　三、生物农药行业投资方向</w:t>
      </w:r>
      <w:r>
        <w:rPr>
          <w:rFonts w:hint="eastAsia"/>
        </w:rPr>
        <w:br/>
      </w:r>
      <w:r>
        <w:rPr>
          <w:rFonts w:hint="eastAsia"/>
        </w:rPr>
        <w:t>　　图表 华北地区生物农药行业固定资产投资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华北地区生物农药行业投资主体结构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华中地区生物农药行业固定资产投资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华中地区生物农药行业投资主体结构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19f7beba04c93" w:history="1">
        <w:r>
          <w:rPr>
            <w:rStyle w:val="Hyperlink"/>
          </w:rPr>
          <w:t>2007-2008年中国生物农药行业区域投资机会分析研究报告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19f7beba04c93" w:history="1">
        <w:r>
          <w:rPr>
            <w:rStyle w:val="Hyperlink"/>
          </w:rPr>
          <w:t>https://www.20087.com/2007-12/R_2007_2008shengwunongyaoquyutouzijihuBaoGao.html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19b70b28142b9" w:history="1">
      <w:r>
        <w:rPr>
          <w:rStyle w:val="Hyperlink"/>
        </w:rPr>
        <w:t>2007-2008年中国生物农药行业区域投资机会分析研究报告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engwunongyaoquyutouzijihuBaoGao.html" TargetMode="External" Id="R15819f7beba0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engwunongyaoquyutouzijihuBaoGao.html" TargetMode="External" Id="R92419b70b281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2007-12-19T01:43:00Z</dcterms:created>
  <dcterms:modified xsi:type="dcterms:W3CDTF">2007-12-19T02:43:00Z</dcterms:modified>
  <dc:subject>2007-2008年中国生物农药行业区域投资机会分析研究报告</dc:subject>
  <dc:title>2007-2008年中国生物农药行业区域投资机会分析研究报告</dc:title>
  <cp:keywords>2007-2008年中国生物农药行业区域投资机会分析研究报告</cp:keywords>
  <dc:description>2007-2008年中国生物农药行业区域投资机会分析研究报告</dc:description>
</cp:coreProperties>
</file>