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40dd4c58a41f8" w:history="1">
              <w:r>
                <w:rPr>
                  <w:rStyle w:val="Hyperlink"/>
                </w:rPr>
                <w:t>印度奶制品市场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40dd4c58a41f8" w:history="1">
              <w:r>
                <w:rPr>
                  <w:rStyle w:val="Hyperlink"/>
                </w:rPr>
                <w:t>印度奶制品市场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40dd4c58a41f8" w:history="1">
                <w:r>
                  <w:rPr>
                    <w:rStyle w:val="Hyperlink"/>
                  </w:rPr>
                  <w:t>https://www.20087.com/2008-11/R_yindunaizhipinshichangBaoGao.html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生产</w:t>
      </w:r>
      <w:r>
        <w:rPr>
          <w:rFonts w:hint="eastAsia"/>
        </w:rPr>
        <w:br/>
      </w:r>
      <w:r>
        <w:rPr>
          <w:rFonts w:hint="eastAsia"/>
        </w:rPr>
        <w:t>　　第二章 生产发展和政策</w:t>
      </w:r>
      <w:r>
        <w:rPr>
          <w:rFonts w:hint="eastAsia"/>
        </w:rPr>
        <w:br/>
      </w:r>
      <w:r>
        <w:rPr>
          <w:rFonts w:hint="eastAsia"/>
        </w:rPr>
        <w:t>　　第三章 消费</w:t>
      </w:r>
      <w:r>
        <w:rPr>
          <w:rFonts w:hint="eastAsia"/>
        </w:rPr>
        <w:br/>
      </w:r>
      <w:r>
        <w:rPr>
          <w:rFonts w:hint="eastAsia"/>
        </w:rPr>
        <w:t>　　第四章 进出口</w:t>
      </w:r>
      <w:r>
        <w:rPr>
          <w:rFonts w:hint="eastAsia"/>
        </w:rPr>
        <w:br/>
      </w:r>
      <w:r>
        <w:rPr>
          <w:rFonts w:hint="eastAsia"/>
        </w:rPr>
        <w:t>　　第五章 中~智~林　贸易政策</w:t>
      </w:r>
      <w:r>
        <w:rPr>
          <w:rFonts w:hint="eastAsia"/>
        </w:rPr>
        <w:br/>
      </w:r>
      <w:r>
        <w:rPr>
          <w:rFonts w:hint="eastAsia"/>
        </w:rPr>
        <w:t>　　图1：2007年印度乳制品出口产品结构</w:t>
      </w:r>
      <w:r>
        <w:rPr>
          <w:rFonts w:hint="eastAsia"/>
        </w:rPr>
        <w:br/>
      </w:r>
      <w:r>
        <w:rPr>
          <w:rFonts w:hint="eastAsia"/>
        </w:rPr>
        <w:t>　　图2：2007年印度乳制品出口统计（按照出口目的国）</w:t>
      </w:r>
      <w:r>
        <w:rPr>
          <w:rFonts w:hint="eastAsia"/>
        </w:rPr>
        <w:br/>
      </w:r>
      <w:r>
        <w:rPr>
          <w:rFonts w:hint="eastAsia"/>
        </w:rPr>
        <w:t>　　表1：印度各种奶制品的关税</w:t>
      </w:r>
      <w:r>
        <w:rPr>
          <w:rFonts w:hint="eastAsia"/>
        </w:rPr>
        <w:br/>
      </w:r>
      <w:r>
        <w:rPr>
          <w:rFonts w:hint="eastAsia"/>
        </w:rPr>
        <w:t>　　表2：2007、2008年印度液态奶供求表</w:t>
      </w:r>
      <w:r>
        <w:rPr>
          <w:rFonts w:hint="eastAsia"/>
        </w:rPr>
        <w:br/>
      </w:r>
      <w:r>
        <w:rPr>
          <w:rFonts w:hint="eastAsia"/>
        </w:rPr>
        <w:t>　　表3：2007、2008年印度脱脂奶粉供求表</w:t>
      </w:r>
      <w:r>
        <w:rPr>
          <w:rFonts w:hint="eastAsia"/>
        </w:rPr>
        <w:br/>
      </w:r>
      <w:r>
        <w:rPr>
          <w:rFonts w:hint="eastAsia"/>
        </w:rPr>
        <w:t>　　表4：2007、2008年印度奶油供求表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40dd4c58a41f8" w:history="1">
        <w:r>
          <w:rPr>
            <w:rStyle w:val="Hyperlink"/>
          </w:rPr>
          <w:t>印度奶制品市场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40dd4c58a41f8" w:history="1">
        <w:r>
          <w:rPr>
            <w:rStyle w:val="Hyperlink"/>
          </w:rPr>
          <w:t>https://www.20087.com/2008-11/R_yindunaizhipinshichangBaoGao.html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d0c4ead2e4c54" w:history="1">
      <w:r>
        <w:rPr>
          <w:rStyle w:val="Hyperlink"/>
        </w:rPr>
        <w:t>印度奶制品市场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yindunaizhipinshichangBaoGao.html" TargetMode="External" Id="R1d640dd4c58a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yindunaizhipinshichangBaoGao.html" TargetMode="External" Id="R6fcd0c4ead2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2008-11-17T01:18:00Z</dcterms:created>
  <dcterms:modified xsi:type="dcterms:W3CDTF">2008-11-17T02:18:00Z</dcterms:modified>
  <dc:subject>印度奶制品市场</dc:subject>
  <dc:title>印度奶制品市场</dc:title>
  <cp:keywords>印度奶制品市场</cp:keywords>
  <dc:description>印度奶制品市场</dc:description>
</cp:coreProperties>
</file>