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05f9147874166" w:history="1">
              <w:r>
                <w:rPr>
                  <w:rStyle w:val="Hyperlink"/>
                </w:rPr>
                <w:t>2009-2013年高氮产业规划研究与投资价值分析报告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05f9147874166" w:history="1">
              <w:r>
                <w:rPr>
                  <w:rStyle w:val="Hyperlink"/>
                </w:rPr>
                <w:t>2009-2013年高氮产业规划研究与投资价值分析报告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05f9147874166" w:history="1">
                <w:r>
                  <w:rPr>
                    <w:rStyle w:val="Hyperlink"/>
                  </w:rPr>
                  <w:t>https://www.20087.com/2009-11/R_2009_2013niangaodanchanyeguihuayanjiBaoGao.html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中国高氮行业概述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2009年中国高氮市场竞争力与市场竞争格局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高氮国内重点生产厂家分析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高氮行业进出口分析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高氮行业发展趋势分析</w:t>
      </w:r>
      <w:r>
        <w:rPr>
          <w:rFonts w:hint="eastAsia"/>
        </w:rPr>
        <w:br/>
      </w:r>
      <w:r>
        <w:rPr>
          <w:rFonts w:hint="eastAsia"/>
        </w:rPr>
        <w:t>　　第一节 高氮行业发展趋势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2009-2013年高氮行业运行能力预测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一、2009-2013年高氮行业总资产预测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05f9147874166" w:history="1">
        <w:r>
          <w:rPr>
            <w:rStyle w:val="Hyperlink"/>
          </w:rPr>
          <w:t>2009-2013年高氮产业规划研究与投资价值分析报告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05f9147874166" w:history="1">
        <w:r>
          <w:rPr>
            <w:rStyle w:val="Hyperlink"/>
          </w:rPr>
          <w:t>https://www.20087.com/2009-11/R_2009_2013niangaodanchanyeguihuayanjiBaoGao.html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7d9c126824d3d" w:history="1">
      <w:r>
        <w:rPr>
          <w:rStyle w:val="Hyperlink"/>
        </w:rPr>
        <w:t>2009-2013年高氮产业规划研究与投资价值分析报告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danchanyeguihuayanjiBaoGao.html" TargetMode="External" Id="R5f805f914787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danchanyeguihuayanjiBaoGao.html" TargetMode="External" Id="R73b7d9c12682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2009-11-09T06:49:00Z</dcterms:created>
  <dcterms:modified xsi:type="dcterms:W3CDTF">2009-11-09T07:49:00Z</dcterms:modified>
  <dc:subject>2009-2013年高氮产业规划研究与投资价值分析报告</dc:subject>
  <dc:title>2009-2013年高氮产业规划研究与投资价值分析报告</dc:title>
  <cp:keywords>2009-2013年高氮产业规划研究与投资价值分析报告</cp:keywords>
  <dc:description>2009-2013年高氮产业规划研究与投资价值分析报告</dc:description>
</cp:coreProperties>
</file>