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e41527324786" w:history="1">
              <w:r>
                <w:rPr>
                  <w:rStyle w:val="Hyperlink"/>
                </w:rPr>
                <w:t>2010-2013年中国维生素C市场动态与投资前景研究报告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e41527324786" w:history="1">
              <w:r>
                <w:rPr>
                  <w:rStyle w:val="Hyperlink"/>
                </w:rPr>
                <w:t>2010-2013年中国维生素C市场动态与投资前景研究报告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0e41527324786" w:history="1">
                <w:r>
                  <w:rPr>
                    <w:rStyle w:val="Hyperlink"/>
                  </w:rPr>
                  <w:t>https://www.20087.com/2010-06/R_2010_2013weishengsushichangdongtaiyu546.html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2010年国际维生素市场的发展概述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2010年中国维生素市场的发展形势分析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四、2010年中国维生素C市场景气度高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2010年中国维生素C行业发展存在的问题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一、2008金融危机对维生素C行业影响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二、2008维生素C主要消费市场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2010年中国维生素C药物作用分析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2005年-2010年中国未混合的维生素C及其衍生物（29362700）市场进出口数据分析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2005年-2010年中国未混合的维生素C及其衍生物行业进出口情况分析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2005年-2010年中国未混合的维生素C及其衍生物行业进出口特征分析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未混合的维生素C及其衍生物进出口价格特征分析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三、中国维生素C企业内部价值链分析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2010年中国维生素C集中度分析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2010年中国维生素C企业提升竞争力策略分析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2010-2013年中国维生素C市场发展前景分析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2010-2013年中国维生素C产业投资机会分析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中:智林:－2010-2013年中国维生素C产业风险分析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中国未混合的维生素C及其衍生物进出口数量及金额合计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中国未混合的维生素C及其衍生物主要进口来源国和地区统计表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中国未混合的维生素C及其衍生物主要出口地区和国家统计表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2005年-2010年浙江新和成股份有限公司偿债能力指标表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2005年-2010年东北制药集团股份有限公司偿债能力指标表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江苏江山制药有限公司销售收入情况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淄博华龙制药有限公司成本费用构成情况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2010-2013年中国维生素C市场竞争格局预测分析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2010-2013年中国维生素C价格预测分析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2010-2013年中国维生素C供给预测分析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2010-2013年中国维生素C需求预测分析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2010-2013年中国维生素C进出口预测分析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2010-2013年中国维生素C市场盈利预测分析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e41527324786" w:history="1">
        <w:r>
          <w:rPr>
            <w:rStyle w:val="Hyperlink"/>
          </w:rPr>
          <w:t>2010-2013年中国维生素C市场动态与投资前景研究报告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0e41527324786" w:history="1">
        <w:r>
          <w:rPr>
            <w:rStyle w:val="Hyperlink"/>
          </w:rPr>
          <w:t>https://www.20087.com/2010-06/R_2010_2013weishengsushichangdongtaiyu546.html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4d755586541a7" w:history="1">
      <w:r>
        <w:rPr>
          <w:rStyle w:val="Hyperlink"/>
        </w:rPr>
        <w:t>2010-2013年中国维生素C市场动态与投资前景研究报告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eishengsushichangdongtaiyu546.html" TargetMode="External" Id="R3850e4152732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eishengsushichangdongtaiyu546.html" TargetMode="External" Id="R4fd4d755586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2010-06-30T05:22:00Z</dcterms:created>
  <dcterms:modified xsi:type="dcterms:W3CDTF">2010-06-30T06:22:00Z</dcterms:modified>
  <dc:subject>2010-2013年中国维生素C市场动态与投资前景研究报告</dc:subject>
  <dc:title>2010-2013年中国维生素C市场动态与投资前景研究报告</dc:title>
  <cp:keywords>2010-2013年中国维生素C市场动态与投资前景研究报告</cp:keywords>
  <dc:description>2010-2013年中国维生素C市场动态与投资前景研究报告</dc:description>
</cp:coreProperties>
</file>