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80009810482c" w:history="1">
              <w:r>
                <w:rPr>
                  <w:rStyle w:val="Hyperlink"/>
                </w:rPr>
                <w:t>2011-2015年中国宠物医疗市场深度调研及未来盈利能力分析报告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80009810482c" w:history="1">
              <w:r>
                <w:rPr>
                  <w:rStyle w:val="Hyperlink"/>
                </w:rPr>
                <w:t>2011-2015年中国宠物医疗市场深度调研及未来盈利能力分析报告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680009810482c" w:history="1">
                <w:r>
                  <w:rPr>
                    <w:rStyle w:val="Hyperlink"/>
                  </w:rPr>
                  <w:t>https://www.20087.com/2010-07/R_2011_2015chongwuyiliaoshichangshendu.html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2009-2010年全球部分国家宠物产业运行态势分析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2009-2010年世界宠物医疗产业现状综述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2009-2010年世界宠物医疗市场透析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2011-2015年世界宠物医疗产业发展趋势分析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2009-2010年中国水族行业现状综述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2009-2010年中国宠物行业存在的问题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2009-2010年中国宠物行业的发展策略分析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2009-2010年中国宠物零售业区域市场分析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一、宠物医疗业主要产品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第二节 2009-2010年中国宠物医院市场需求分析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2009-2010年中国宠物医疗保健品市场分析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2009-2010年中国宠物医疗重点省市分析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2009-2010年中国打造宠物店的核心竞争力分析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一、全球金融危机下的宠物行业商机无限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2009年全国各重点省市宠物医疗业主要产品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80009810482c" w:history="1">
        <w:r>
          <w:rPr>
            <w:rStyle w:val="Hyperlink"/>
          </w:rPr>
          <w:t>2011-2015年中国宠物医疗市场深度调研及未来盈利能力分析报告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680009810482c" w:history="1">
        <w:r>
          <w:rPr>
            <w:rStyle w:val="Hyperlink"/>
          </w:rPr>
          <w:t>https://www.20087.com/2010-07/R_2011_2015chongwuyiliaoshichangshendu.html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74f37ee74087" w:history="1">
      <w:r>
        <w:rPr>
          <w:rStyle w:val="Hyperlink"/>
        </w:rPr>
        <w:t>2011-2015年中国宠物医疗市场深度调研及未来盈利能力分析报告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chongwuyiliaoshichangshendu.html" TargetMode="External" Id="Rbf3680009810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chongwuyiliaoshichangshendu.html" TargetMode="External" Id="R9a4274f37ee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2010-07-21T05:41:00Z</dcterms:created>
  <dcterms:modified xsi:type="dcterms:W3CDTF">2010-07-21T06:41:00Z</dcterms:modified>
  <dc:subject>2011-2015年中国宠物医疗市场深度调研及未来盈利能力分析报告</dc:subject>
  <dc:title>2011-2015年中国宠物医疗市场深度调研及未来盈利能力分析报告</dc:title>
  <cp:keywords>2011-2015年中国宠物医疗市场深度调研及未来盈利能力分析报告</cp:keywords>
  <dc:description>2011-2015年中国宠物医疗市场深度调研及未来盈利能力分析报告</dc:description>
</cp:coreProperties>
</file>