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7c9129c74243" w:history="1">
              <w:r>
                <w:rPr>
                  <w:rStyle w:val="Hyperlink"/>
                </w:rPr>
                <w:t>2010-2015年中国手机Flash产业市场深度调研及投资前景预测报告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7c9129c74243" w:history="1">
              <w:r>
                <w:rPr>
                  <w:rStyle w:val="Hyperlink"/>
                </w:rPr>
                <w:t>2010-2015年中国手机Flash产业市场深度调研及投资前景预测报告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87c9129c74243" w:history="1">
                <w:r>
                  <w:rPr>
                    <w:rStyle w:val="Hyperlink"/>
                  </w:rPr>
                  <w:t>https://www.20087.com/2010-09/R_2010_2015shoujilashchanyeshichangshe.html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2009-2010年全球手机Flash行业供给分析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第二节 2009-2010年全球手机Flash行业市场分析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2009-2010年中国手机Flash产业社会环境分析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2009-2010年中国网络动漫产业阐述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2009-2010年中国网络动漫产业赢利分析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二、有价无市的尴尬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2009-2010年中国FLASH动画发展分析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2009-2010年中国手机Flash企业提升竞争力策略分析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二、金融危机对中国实体经济领域影响加深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四、金融危机下日本动漫的严峻阶段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三、金融危机下幽默漫画仍受追捧</w:t>
      </w:r>
      <w:r>
        <w:rPr>
          <w:rFonts w:hint="eastAsia"/>
        </w:rPr>
        <w:br/>
      </w:r>
      <w:r>
        <w:rPr>
          <w:rFonts w:hint="eastAsia"/>
        </w:rPr>
        <w:t>　　　　四、金融危机下中国动漫产业的应对策略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中智:林－2011-2015年中国手机Flash行业市场盈利预测分析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7c9129c74243" w:history="1">
        <w:r>
          <w:rPr>
            <w:rStyle w:val="Hyperlink"/>
          </w:rPr>
          <w:t>2010-2015年中国手机Flash产业市场深度调研及投资前景预测报告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87c9129c74243" w:history="1">
        <w:r>
          <w:rPr>
            <w:rStyle w:val="Hyperlink"/>
          </w:rPr>
          <w:t>https://www.20087.com/2010-09/R_2010_2015shoujilashchanyeshichangshe.html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01b0eb694445e" w:history="1">
      <w:r>
        <w:rPr>
          <w:rStyle w:val="Hyperlink"/>
        </w:rPr>
        <w:t>2010-2015年中国手机Flash产业市场深度调研及投资前景预测报告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oujilashchanyeshichangshe.html" TargetMode="External" Id="R1b587c9129c7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oujilashchanyeshichangshe.html" TargetMode="External" Id="Rc0d01b0eb69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2010-09-17T02:30:00Z</dcterms:created>
  <dcterms:modified xsi:type="dcterms:W3CDTF">2010-09-17T03:30:00Z</dcterms:modified>
  <dc:subject>2010-2015年中国手机Flash产业市场深度调研及投资前景预测报告</dc:subject>
  <dc:title>2010-2015年中国手机Flash产业市场深度调研及投资前景预测报告</dc:title>
  <cp:keywords>2010-2015年中国手机Flash产业市场深度调研及投资前景预测报告</cp:keywords>
  <dc:description>2010-2015年中国手机Flash产业市场深度调研及投资前景预测报告</dc:description>
</cp:coreProperties>
</file>