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4b807ea74a4e" w:history="1">
              <w:r>
                <w:rPr>
                  <w:rStyle w:val="Hyperlink"/>
                </w:rPr>
                <w:t>2011-2015年中国私人银行服务分析及未来前景预测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4b807ea74a4e" w:history="1">
              <w:r>
                <w:rPr>
                  <w:rStyle w:val="Hyperlink"/>
                </w:rPr>
                <w:t>2011-2015年中国私人银行服务分析及未来前景预测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b4b807ea74a4e" w:history="1">
                <w:r>
                  <w:rPr>
                    <w:rStyle w:val="Hyperlink"/>
                  </w:rPr>
                  <w:t>https://www.20087.com/2010-12/R_2011_2015sirenyinxingfuwufenxijiweil.html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2008-2009年客户容量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2009-2010年业务分析</w:t>
      </w:r>
      <w:r>
        <w:rPr>
          <w:rFonts w:hint="eastAsia"/>
        </w:rPr>
        <w:br/>
      </w:r>
      <w:r>
        <w:rPr>
          <w:rFonts w:hint="eastAsia"/>
        </w:rPr>
        <w:t>　　　　三 2009-2010年私人银行业务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中智⋅林－中小银行发展私人银行业务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2000－2009年城镇居民人均可支配收入一览表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2000－2009年城镇居民人均可支配收入变化图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1978－2009年中国城乡居民人民币储蓄存款年底余额一览表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1978－2009年中国城乡居民人民币储蓄定期存款年底余额变化趋势图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1978－2009年中国城乡居民人民币储蓄活期存款年底余额变化趋势图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2009年中国工商银行主营业务结构一览表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2009年中国银行主营业务结构一览表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2009年中国建设银行主营业务结构一览表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2009年交通银行主营业务结构一览表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4b807ea74a4e" w:history="1">
        <w:r>
          <w:rPr>
            <w:rStyle w:val="Hyperlink"/>
          </w:rPr>
          <w:t>2011-2015年中国私人银行服务分析及未来前景预测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b4b807ea74a4e" w:history="1">
        <w:r>
          <w:rPr>
            <w:rStyle w:val="Hyperlink"/>
          </w:rPr>
          <w:t>https://www.20087.com/2010-12/R_2011_2015sirenyinxingfuwufenxijiweil.html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0b3b718f4b7f" w:history="1">
      <w:r>
        <w:rPr>
          <w:rStyle w:val="Hyperlink"/>
        </w:rPr>
        <w:t>2011-2015年中国私人银行服务分析及未来前景预测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irenyinxingfuwufenxijiweil.html" TargetMode="External" Id="Rf40b4b807ea7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irenyinxingfuwufenxijiweil.html" TargetMode="External" Id="Rc45c0b3b718f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2010-12-07T07:32:00Z</dcterms:created>
  <dcterms:modified xsi:type="dcterms:W3CDTF">2010-12-07T08:32:00Z</dcterms:modified>
  <dc:subject>2011-2015年中国私人银行服务分析及未来前景预测</dc:subject>
  <dc:title>2011-2015年中国私人银行服务分析及未来前景预测</dc:title>
  <cp:keywords>2011-2015年中国私人银行服务分析及未来前景预测</cp:keywords>
  <dc:description>2011-2015年中国私人银行服务分析及未来前景预测</dc:description>
</cp:coreProperties>
</file>