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703539ef44cf2" w:history="1">
              <w:r>
                <w:rPr>
                  <w:rStyle w:val="Hyperlink"/>
                </w:rPr>
                <w:t>2011-2015年中国中密度纤维板市场深度评估及投资前景分析报告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703539ef44cf2" w:history="1">
              <w:r>
                <w:rPr>
                  <w:rStyle w:val="Hyperlink"/>
                </w:rPr>
                <w:t>2011-2015年中国中密度纤维板市场深度评估及投资前景分析报告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703539ef44cf2" w:history="1">
                <w:r>
                  <w:rPr>
                    <w:rStyle w:val="Hyperlink"/>
                  </w:rPr>
                  <w:t>https://www.20087.com/2011-02/R_2011_2015zhongmiduxianweibanshichang214.html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四、《中密度纤维板》新国标2014年4月1日起施行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中密度纤维板市场分析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一、国际吉象人造林制品集团</w:t>
      </w:r>
      <w:r>
        <w:rPr>
          <w:rFonts w:hint="eastAsia"/>
        </w:rPr>
        <w:br/>
      </w:r>
      <w:r>
        <w:rPr>
          <w:rFonts w:hint="eastAsia"/>
        </w:rPr>
        <w:t>　　　　二、浙江绿源木业股份有限公司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三、福建福人木业有限公司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2016-2020年中密度纤维板行业投资分析及前景预测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中智林⋅：2016-2020年中国中密度纤维板行业前景展望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五、2016-2020年中国中密度纤维板行业预测分析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2013-2015年我国中密度纤维板生产能力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2015年我国中密度纤维板生产能力地区分布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2015年我国中密度纤维板生产能力前10名省区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703539ef44cf2" w:history="1">
        <w:r>
          <w:rPr>
            <w:rStyle w:val="Hyperlink"/>
          </w:rPr>
          <w:t>2011-2015年中国中密度纤维板市场深度评估及投资前景分析报告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703539ef44cf2" w:history="1">
        <w:r>
          <w:rPr>
            <w:rStyle w:val="Hyperlink"/>
          </w:rPr>
          <w:t>https://www.20087.com/2011-02/R_2011_2015zhongmiduxianweibanshichang214.html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ed1d970cc4b9a" w:history="1">
      <w:r>
        <w:rPr>
          <w:rStyle w:val="Hyperlink"/>
        </w:rPr>
        <w:t>2011-2015年中国中密度纤维板市场深度评估及投资前景分析报告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hongmiduxianweibanshichang214.html" TargetMode="External" Id="R4e4703539ef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hongmiduxianweibanshichang214.html" TargetMode="External" Id="R906ed1d970cc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2011-02-16T07:35:00Z</dcterms:created>
  <dcterms:modified xsi:type="dcterms:W3CDTF">2011-02-16T08:35:00Z</dcterms:modified>
  <dc:subject>2011-2015年中国中密度纤维板市场深度评估及投资前景分析报告</dc:subject>
  <dc:title>2011-2015年中国中密度纤维板市场深度评估及投资前景分析报告</dc:title>
  <cp:keywords>2011-2015年中国中密度纤维板市场深度评估及投资前景分析报告</cp:keywords>
  <dc:description>2011-2015年中国中密度纤维板市场深度评估及投资前景分析报告</dc:description>
</cp:coreProperties>
</file>