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47513aca47b3" w:history="1">
              <w:r>
                <w:rPr>
                  <w:rStyle w:val="Hyperlink"/>
                </w:rPr>
                <w:t>2011-2015年中国数码冲印行业深度评估与投资前景分析报告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47513aca47b3" w:history="1">
              <w:r>
                <w:rPr>
                  <w:rStyle w:val="Hyperlink"/>
                </w:rPr>
                <w:t>2011-2015年中国数码冲印行业深度评估与投资前景分析报告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d47513aca47b3" w:history="1">
                <w:r>
                  <w:rPr>
                    <w:rStyle w:val="Hyperlink"/>
                  </w:rPr>
                  <w:t>https://www.20087.com/2011-02/R_2011_2015shumachongyinxingyeshendupi.html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2010年中国数字印刷产业社会环境分析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2010年中国数码冲印行业动态分析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一、联通宽带数字家庭体验产品——网络冲印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“撒网”数码冲印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2010年中国数码冲印行业运行综述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四、数码冲印迎来“黄金周”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2010年中国数码冲印行业发展中存在的问题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2010年数码相机用户需求研究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2006-2010年中国数码相机产量统计分析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一、2006-2009年全国数码相机产量分析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　　三、2010年1-11月数码相机产量集中度分析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2010年中国数码冲印设备市场运行分析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2010年中国数码打印设备市场运行分析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2010年中国耗材市场运行分析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一、数码冲印市场演绎“明争暗斗”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2011-2015年中国数码冲印竞争趋势分析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2011-2015年中国数字冲印市场预测分析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2006-2009年全国数码相机产量分析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图表 2010年1-11月数码相机产量集中度分析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47513aca47b3" w:history="1">
        <w:r>
          <w:rPr>
            <w:rStyle w:val="Hyperlink"/>
          </w:rPr>
          <w:t>2011-2015年中国数码冲印行业深度评估与投资前景分析报告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d47513aca47b3" w:history="1">
        <w:r>
          <w:rPr>
            <w:rStyle w:val="Hyperlink"/>
          </w:rPr>
          <w:t>https://www.20087.com/2011-02/R_2011_2015shumachongyinxingyeshendupi.html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dcfa974d4126" w:history="1">
      <w:r>
        <w:rPr>
          <w:rStyle w:val="Hyperlink"/>
        </w:rPr>
        <w:t>2011-2015年中国数码冲印行业深度评估与投资前景分析报告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umachongyinxingyeshendupi.html" TargetMode="External" Id="Rcd5d47513aca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umachongyinxingyeshendupi.html" TargetMode="External" Id="R02ffdcfa974d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2011-02-20T05:30:00Z</dcterms:created>
  <dcterms:modified xsi:type="dcterms:W3CDTF">2011-02-20T06:30:00Z</dcterms:modified>
  <dc:subject>2011-2015年中国数码冲印行业深度评估与投资前景分析报告</dc:subject>
  <dc:title>2011-2015年中国数码冲印行业深度评估与投资前景分析报告</dc:title>
  <cp:keywords>2011-2015年中国数码冲印行业深度评估与投资前景分析报告</cp:keywords>
  <dc:description>2011-2015年中国数码冲印行业深度评估与投资前景分析报告</dc:description>
</cp:coreProperties>
</file>