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ba083f8e54fa5" w:history="1">
              <w:r>
                <w:rPr>
                  <w:rStyle w:val="Hyperlink"/>
                </w:rPr>
                <w:t>2011-2015年中国手机用LCD显示屏市场需求态势及应用前景预测报告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ba083f8e54fa5" w:history="1">
              <w:r>
                <w:rPr>
                  <w:rStyle w:val="Hyperlink"/>
                </w:rPr>
                <w:t>2011-2015年中国手机用LCD显示屏市场需求态势及应用前景预测报告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ba083f8e54fa5" w:history="1">
                <w:r>
                  <w:rPr>
                    <w:rStyle w:val="Hyperlink"/>
                  </w:rPr>
                  <w:t>https://www.20087.com/2011-06/R_2011_2015shoujiyongxianshipingshicha514.html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2010-2011年全球手机显示屏市场分析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2010-2011年主要国家与地区技术特征及革新能力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2010-2011年世界手机显示屏技术发展分析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2011-2015年全球手机显示屏产业发展趋势分析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2010-2011年中国市场结构分析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2010-2011年中国3G对手机显示屏更新换代的影响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2010-2011年中国手机电视对高清手机显示屏的影响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2010-2011年手机显示屏技术发展趋势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2010-2011年手机厂商显示屏技术发展动态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二、Atmel推出完全集成电容性触摸屏技术maXTouch（tm）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六、Nokia计划在2010-2011年推出多款OLED屏幕手机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2010-2011年移动显示技术大会展现触摸屏的未来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2010-2011年中国折叠手机显示屏问世的影响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2010-2011年中国手机显示屏制造商发展分析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一、"成都造"手机显示屏的发展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六、2010-2011年LCD显示器销售额预测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2011-2015年中国手机显示屏正向彩色高分辨率发展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2011-2015年中国手机面板发展趋势分析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2011-2015年中国手机屏市场预测分析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2011-2015年中国LCD行业投资分析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(中⋅智林)2011-2015年中国手机显示屏产业投资风险分析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2008-2010年按尺寸别的触控面板出货比重（单位：百分比）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苏州爱普生有限公司盈利能力情况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苏州爱普生有限公司销售收入情况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苏州爱普生有限公司成本费用构成情况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ba083f8e54fa5" w:history="1">
        <w:r>
          <w:rPr>
            <w:rStyle w:val="Hyperlink"/>
          </w:rPr>
          <w:t>2011-2015年中国手机用LCD显示屏市场需求态势及应用前景预测报告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ba083f8e54fa5" w:history="1">
        <w:r>
          <w:rPr>
            <w:rStyle w:val="Hyperlink"/>
          </w:rPr>
          <w:t>https://www.20087.com/2011-06/R_2011_2015shoujiyongxianshipingshicha514.html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ff3627d5149e7" w:history="1">
      <w:r>
        <w:rPr>
          <w:rStyle w:val="Hyperlink"/>
        </w:rPr>
        <w:t>2011-2015年中国手机用LCD显示屏市场需求态势及应用前景预测报告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oujiyongxianshipingshicha514.html" TargetMode="External" Id="R9abba083f8e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oujiyongxianshipingshicha514.html" TargetMode="External" Id="R8ffff3627d51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2011-06-07T05:29:00Z</dcterms:created>
  <dcterms:modified xsi:type="dcterms:W3CDTF">2011-06-07T06:29:00Z</dcterms:modified>
  <dc:subject>2011-2015年中国手机用LCD显示屏市场需求态势及应用前景预测报告</dc:subject>
  <dc:title>2011-2015年中国手机用LCD显示屏市场需求态势及应用前景预测报告</dc:title>
  <cp:keywords>2011-2015年中国手机用LCD显示屏市场需求态势及应用前景预测报告</cp:keywords>
  <dc:description>2011-2015年中国手机用LCD显示屏市场需求态势及应用前景预测报告</dc:description>
</cp:coreProperties>
</file>