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29b4d79994b9f" w:history="1">
              <w:r>
                <w:rPr>
                  <w:rStyle w:val="Hyperlink"/>
                </w:rPr>
                <w:t>中国金属期货市场走势预测分析及2011-2015年投资前景评估及预测报告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29b4d79994b9f" w:history="1">
              <w:r>
                <w:rPr>
                  <w:rStyle w:val="Hyperlink"/>
                </w:rPr>
                <w:t>中国金属期货市场走势预测分析及2011-2015年投资前景评估及预测报告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29b4d79994b9f" w:history="1">
                <w:r>
                  <w:rPr>
                    <w:rStyle w:val="Hyperlink"/>
                  </w:rPr>
                  <w:t>https://www.20087.com/2011-09/R_jinshuqihuoshichangzoushiyucefenxiji.html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2011年全球期货行业运行环境分析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三、全球金融市场流动性严重不足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四、各国政府出台实质措施挽救全球经济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五、金砖四国经济增长普遍下滑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2011年全球期货行业现状分析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三、2005-2011年全球主要期货品种交易量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四、2005-2011年全球主要期货交易所交易量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2011年全球金融期货市场现状分析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2011年全球商品期货市场现状分析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2011年中国商品期货发展分析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2011年金融危机下中国期货市场的发展分析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2011年中国期货市场面临的问题及对策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2011年中国有色金属期货市场分析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2011年国内外金属期货市场价格联动的比较探析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2011年世界主要铜期货交易所概况分析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2011年中国铜期货市场发展概况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2011年中国铜行业对期货市场的应用分析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2011年中国铝期货市场概况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一、铝期货市场特点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2011年上海铝期货市场发展情况分析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2011年中国铝上市公司参与套期保值状况分析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第四节 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2011年中国锌期货市场发展概况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2011年锌企业的套期保值案例分析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2011-2015年中国锌期货市场发展前景预测分析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2011年中国黄金期货市场概况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2011年中国黄金期货市场分析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2011年中国黄金期货市场的参与者分析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2011年中国黄金期货市场存在的问题及发展对策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2011-2015年中国黄金期货市场投资及趋势分析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中:智:林:－钢材期货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2006-2010年中国金属产量数据统计分析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2011-2015年中国金属期货投资前景预测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29b4d79994b9f" w:history="1">
        <w:r>
          <w:rPr>
            <w:rStyle w:val="Hyperlink"/>
          </w:rPr>
          <w:t>中国金属期货市场走势预测分析及2011-2015年投资前景评估及预测报告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29b4d79994b9f" w:history="1">
        <w:r>
          <w:rPr>
            <w:rStyle w:val="Hyperlink"/>
          </w:rPr>
          <w:t>https://www.20087.com/2011-09/R_jinshuqihuoshichangzoushiyucefenxiji.html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0555b3a5a455d" w:history="1">
      <w:r>
        <w:rPr>
          <w:rStyle w:val="Hyperlink"/>
        </w:rPr>
        <w:t>中国金属期货市场走势预测分析及2011-2015年投资前景评估及预测报告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shuqihuoshichangzoushiyucefenxiji.html" TargetMode="External" Id="R24a29b4d799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shuqihuoshichangzoushiyucefenxiji.html" TargetMode="External" Id="Ra7d0555b3a5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2011-09-26T02:33:00Z</dcterms:created>
  <dcterms:modified xsi:type="dcterms:W3CDTF">2011-09-26T03:33:00Z</dcterms:modified>
  <dc:subject>中国金属期货市场走势预测分析及2011-2015年投资前景评估及预测报告</dc:subject>
  <dc:title>中国金属期货市场走势预测分析及2011-2015年投资前景评估及预测报告</dc:title>
  <cp:keywords>中国金属期货市场走势预测分析及2011-2015年投资前景评估及预测报告</cp:keywords>
  <dc:description>中国金属期货市场走势预测分析及2011-2015年投资前景评估及预测报告</dc:description>
</cp:coreProperties>
</file>