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a9fdacfc64fb0" w:history="1">
              <w:r>
                <w:rPr>
                  <w:rStyle w:val="Hyperlink"/>
                </w:rPr>
                <w:t>2012年中国尼龙线、网行业调研分析报告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a9fdacfc64fb0" w:history="1">
              <w:r>
                <w:rPr>
                  <w:rStyle w:val="Hyperlink"/>
                </w:rPr>
                <w:t>2012年中国尼龙线、网行业调研分析报告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a9fdacfc64fb0" w:history="1">
                <w:r>
                  <w:rPr>
                    <w:rStyle w:val="Hyperlink"/>
                  </w:rPr>
                  <w:t>https://www.20087.com/DiaoYan/2012-03/nilongxianwanghangyediaoyanfenxi.html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尼龙线、网行业市场现状分析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尼龙线、网行业市场竞争分析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尼龙线、网行业制造商分析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昆山金洲制网有限公司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(中^智^林)尼龙线、网行业发展预测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2008-2010年昆山金洲制网有限公司销售收入情况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2008-2010年昆山金洲制网有限公司净利润情况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2008-2010年昆山金洲制网有限公司资产情况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2008-2010年昆山金洲制网有限公司负债情况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2008-2010年昆山金洲制网有限公司产成品情况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2008-2010年昆山金洲制网有限公司应收帐款情况</w:t>
      </w:r>
      <w:r>
        <w:rPr>
          <w:rFonts w:hint="eastAsia"/>
        </w:rPr>
        <w:br/>
      </w:r>
      <w:r>
        <w:rPr>
          <w:rFonts w:hint="eastAsia"/>
        </w:rPr>
        <w:t>　　图表 2008-2010年昆山金洲制网有限公司流动资产周转率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a9fdacfc64fb0" w:history="1">
        <w:r>
          <w:rPr>
            <w:rStyle w:val="Hyperlink"/>
          </w:rPr>
          <w:t>2012年中国尼龙线、网行业调研分析报告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a9fdacfc64fb0" w:history="1">
        <w:r>
          <w:rPr>
            <w:rStyle w:val="Hyperlink"/>
          </w:rPr>
          <w:t>https://www.20087.com/DiaoYan/2012-03/nilongxianwanghangyediaoyanfenxi.html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89bb6f80541f1" w:history="1">
      <w:r>
        <w:rPr>
          <w:rStyle w:val="Hyperlink"/>
        </w:rPr>
        <w:t>2012年中国尼龙线、网行业调研分析报告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nilongxianwanghangyediaoyanfenxi.html" TargetMode="External" Id="R326a9fdacfc6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nilongxianwanghangyediaoyanfenxi.html" TargetMode="External" Id="R0f189bb6f805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2012-03-13T03:32:00Z</dcterms:created>
  <dcterms:modified xsi:type="dcterms:W3CDTF">2012-03-13T04:32:00Z</dcterms:modified>
  <dc:subject>2012年中国尼龙线、网行业调研分析报告</dc:subject>
  <dc:title>2012年中国尼龙线、网行业调研分析报告</dc:title>
  <cp:keywords>2012年中国尼龙线、网行业调研分析报告</cp:keywords>
  <dc:description>2012年中国尼龙线、网行业调研分析报告</dc:description>
</cp:coreProperties>
</file>