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a0bf95bbc49c8" w:history="1">
              <w:r>
                <w:rPr>
                  <w:rStyle w:val="Hyperlink"/>
                </w:rPr>
                <w:t>2008-2011年中国中药行业发展回顾及2012-2015年走势分析报告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a0bf95bbc49c8" w:history="1">
              <w:r>
                <w:rPr>
                  <w:rStyle w:val="Hyperlink"/>
                </w:rPr>
                <w:t>2008-2011年中国中药行业发展回顾及2012-2015年走势分析报告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a0bf95bbc49c8" w:history="1">
                <w:r>
                  <w:rPr>
                    <w:rStyle w:val="Hyperlink"/>
                  </w:rPr>
                  <w:t>https://www.20087.com/DiaoYan/2012-04/zhongyaohangyefazhanhuiguji2012_2015.html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(中:智:林)2007年全球中药市场发展概述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a0bf95bbc49c8" w:history="1">
        <w:r>
          <w:rPr>
            <w:rStyle w:val="Hyperlink"/>
          </w:rPr>
          <w:t>2008-2011年中国中药行业发展回顾及2012-2015年走势分析报告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a0bf95bbc49c8" w:history="1">
        <w:r>
          <w:rPr>
            <w:rStyle w:val="Hyperlink"/>
          </w:rPr>
          <w:t>https://www.20087.com/DiaoYan/2012-04/zhongyaohangyefazhanhuiguji2012_2015.html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c313216ee45d6" w:history="1">
      <w:r>
        <w:rPr>
          <w:rStyle w:val="Hyperlink"/>
        </w:rPr>
        <w:t>2008-2011年中国中药行业发展回顾及2012-2015年走势分析报告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hangyefazhanhuiguji2012_2015.html" TargetMode="External" Id="R8bba0bf95bbc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hangyefazhanhuiguji2012_2015.html" TargetMode="External" Id="R1ffc313216ee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2012-04-15T03:06:00Z</dcterms:created>
  <dcterms:modified xsi:type="dcterms:W3CDTF">2012-04-15T04:06:00Z</dcterms:modified>
  <dc:subject>2008-2011年中国中药行业发展回顾及2012-2015年走势分析报告</dc:subject>
  <dc:title>2008-2011年中国中药行业发展回顾及2012-2015年走势分析报告</dc:title>
  <cp:keywords>2008-2011年中国中药行业发展回顾及2012-2015年走势分析报告</cp:keywords>
  <dc:description>2008-2011年中国中药行业发展回顾及2012-2015年走势分析报告</dc:description>
</cp:coreProperties>
</file>