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85C98" w:rsidRDefault="00E85C98">
      <w:pPr/>
    </w:p>
    <w:tbl>
      <w:tblPr>
        <w:tblStyle w:val="a9"/>
        <w:tblW w:w="6000" w:type="pct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10226"/>
      </w:tblGrid>
      <w:tr w:rsidR="00E85C98" w:rsidTr="00E85C98">
        <w:trPr>
          <w:trHeight w:val="5433"/>
          <w:jc w:val="center"/>
        </w:trPr>
        <w:tc>
          <w:tcPr>
            <w:tcW w:w="8522" w:type="dxa"/>
            <w:vAlign w:val="center"/>
          </w:tcPr>
          <w:p w:rsidR="00E85C98" w:rsidRDefault="00E85C98" w:rsidP="00E85C98">
            <w:pPr>
              <w:pStyle w:val="1"/>
              <w:ind w:left="420" w:right="420"/>
            </w:pPr>
            <w:hyperlink r:id="R65114be39860405a" w:history="1">
              <w:r>
                <w:rPr>
                  <w:rStyle w:val="Hyperlink"/>
                </w:rPr>
                <w:t>2024-2030年中国微生物发酵行业现状研究分析及市场前景预测报告</w:t>
              </w:r>
            </w:hyperlink>
          </w:p>
        </w:tc>
      </w:tr>
    </w:tbl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8717C7">
      <w:pPr/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0</wp:posOffset>
            </wp:positionH>
            <wp:positionV relativeFrom="page">
              <wp:posOffset>6134100</wp:posOffset>
            </wp:positionV>
            <wp:extent cx="7560310" cy="4566285"/>
            <wp:effectExtent l="19050" t="0" r="2540" b="0"/>
            <wp:wrapNone/>
            <wp:docPr id="25" name="图片 25" descr="cover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cover"/>
                    <pic:cNvPicPr preferRelativeResize="0">
                      <a:picLocks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310" cy="456628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Default="00606C06">
      <w:pPr/>
    </w:p>
    <w:p w:rsidR="00606C06" w:rsidRPr="00B6287C" w:rsidRDefault="000750F7" w:rsidP="00B70CB6">
      <w:pPr>
        <w:pStyle w:val="4"/>
        <w:spacing w:beforeLines="100" w:after="0" w:line="360" w:lineRule="auto"/>
        <w:jc w:val="center"/>
        <w:rPr>
          <w:rStyle w:val="a5"/>
          <w:rFonts w:ascii="微软雅黑" w:eastAsia="微软雅黑" w:hAnsi="微软雅黑"/>
          <w:spacing w:val="30"/>
          <w:sz w:val="32"/>
          <w:szCs w:val="32"/>
        </w:rPr>
      </w:pPr>
      <w:hyperlink r:id="rId8" w:history="1">
        <w:r w:rsidR="00B6287C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中国市场</w:t>
        </w:r>
        <w:r w:rsidR="00D57DFE" w:rsidRPr="00B6287C">
          <w:rPr>
            <w:rStyle w:val="a6"/>
            <w:rFonts w:ascii="微软雅黑" w:eastAsia="微软雅黑" w:hAnsi="微软雅黑" w:hint="eastAsia"/>
            <w:color w:val="FFFFFF"/>
            <w:spacing w:val="30"/>
            <w:sz w:val="32"/>
            <w:szCs w:val="32"/>
            <w:u w:val="none"/>
          </w:rPr>
          <w:t>调研网</w:t>
        </w:r>
      </w:hyperlink>
    </w:p>
    <w:p w:rsidR="00606C06" w:rsidRPr="00F22418" w:rsidRDefault="000750F7">
      <w:pPr>
        <w:jc w:val="center"/>
        <w:rPr>
          <w:rStyle w:val="a5"/>
          <w:rFonts w:ascii="Georgia" w:hAnsi="Georgia" w:cs="Arial"/>
          <w:sz w:val="24"/>
          <w:szCs w:val="24"/>
        </w:rPr>
        <w:sectPr w:rsidR="00606C06" w:rsidRPr="00F22418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440" w:right="1800" w:bottom="1440" w:left="1800" w:header="851" w:footer="992" w:gutter="0"/>
          <w:cols w:space="425"/>
          <w:titlePg/>
          <w:docGrid w:type="lines" w:linePitch="312"/>
        </w:sectPr>
      </w:pPr>
      <w:hyperlink r:id="rId15" w:history="1">
        <w:r w:rsidR="00D57DFE" w:rsidRPr="00F22418">
          <w:rPr>
            <w:rStyle w:val="a6"/>
            <w:rFonts w:ascii="Georgia" w:eastAsia="黑体" w:hAnsi="Georgia" w:cs="Arial"/>
            <w:color w:val="FFFFFF"/>
            <w:sz w:val="24"/>
            <w:szCs w:val="24"/>
            <w:u w:val="none"/>
          </w:rPr>
          <w:t>www.20087.com</w:t>
        </w:r>
      </w:hyperlink>
    </w:p>
    <w:p w:rsidR="00606C06" w:rsidRDefault="00D57DFE">
      <w:pPr>
        <w:pStyle w:val="a8"/>
      </w:pPr>
      <w:r>
        <w:rPr>
          <w:rFonts w:hint="eastAsia"/>
        </w:rPr>
        <w:lastRenderedPageBreak/>
        <w:t>一、基本信息</w:t>
      </w:r>
    </w:p>
    <w:tbl>
      <w:tblPr>
        <w:tblW w:w="0" w:type="auto"/>
        <w:jc w:val="center"/>
        <w:tblInd w:w="-176" w:type="dxa"/>
        <w:tblLook w:val="04A0"/>
      </w:tblPr>
      <w:tblGrid>
        <w:gridCol w:w="1418"/>
        <w:gridCol w:w="7280"/>
      </w:tblGrid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名称：</w:t>
            </w:r>
          </w:p>
        </w:tc>
        <w:tc>
          <w:tcPr>
            <w:tcW w:w="7280" w:type="dxa"/>
          </w:tcPr>
          <w:p w:rsidR="00606C06" w:rsidRDefault="00C87A6B">
            <w:pPr>
              <w:wordWrap w:val="0"/>
              <w:rPr>
                <w:color w:val="000000"/>
              </w:rPr>
            </w:pPr>
            <w:hyperlink r:id="R65114be39860405a" w:history="1">
              <w:r>
                <w:rPr>
                  <w:rStyle w:val="Hyperlink"/>
                </w:rPr>
                <w:t>2024-2030年中国微生物发酵行业现状研究分析及市场前景预测报告</w:t>
              </w:r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报告编号：</w:t>
            </w:r>
          </w:p>
        </w:tc>
        <w:tc>
          <w:tcPr>
            <w:tcW w:w="7280" w:type="dxa"/>
          </w:tcPr>
          <w:p w:rsidR="00606C06" w:rsidRDefault="00C87A6B">
            <w:pPr/>
            <w:r>
              <w:rPr>
                <w:rFonts w:hint="eastAsia"/>
              </w:rPr>
              <w:t>1557585</w:t>
            </w:r>
            <w:r w:rsidR="00D57DFE">
              <w:rPr>
                <w:rFonts w:hint="eastAsia"/>
              </w:rPr>
              <w:t xml:space="preserve">　　←电话咨询时，请说明该编号。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市场价：</w:t>
            </w:r>
          </w:p>
        </w:tc>
        <w:tc>
          <w:tcPr>
            <w:tcW w:w="7280" w:type="dxa"/>
          </w:tcPr>
          <w:p w:rsidR="00606C06" w:rsidRDefault="00F966A1" w:rsidP="00F966A1">
            <w:pPr/>
            <w:r>
              <w:rPr>
                <w:rFonts w:hint="eastAsia"/>
              </w:rPr>
              <w:t>电子版：8200 元　　纸介＋电子版：8500 元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优惠价：</w:t>
            </w:r>
          </w:p>
        </w:tc>
        <w:tc>
          <w:tcPr>
            <w:tcW w:w="7280" w:type="dxa"/>
          </w:tcPr>
          <w:p w:rsidR="00606C06" w:rsidRDefault="00F966A1">
            <w:pPr/>
            <w:r>
              <w:rPr>
                <w:rFonts w:hint="eastAsia"/>
              </w:rPr>
              <w:t>电子版：7360 元　　纸介＋电子版：7660 元</w:t>
            </w:r>
            <w:r w:rsidR="00D57DFE">
              <w:rPr>
                <w:rFonts w:hint="eastAsia"/>
              </w:rPr>
              <w:t xml:space="preserve">　　可提供增值税专用发票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咨询电话：</w:t>
            </w:r>
          </w:p>
        </w:tc>
        <w:tc>
          <w:tcPr>
            <w:tcW w:w="7280" w:type="dxa"/>
          </w:tcPr>
          <w:p w:rsidR="00606C06" w:rsidRPr="007148EA" w:rsidRDefault="00D57DFE">
            <w:pPr>
              <w:rPr>
                <w:rFonts w:ascii="Georgia" w:hAnsi="Georgia"/>
                <w:szCs w:val="21"/>
              </w:rPr>
            </w:pPr>
            <w:r w:rsidRPr="007148EA">
              <w:rPr>
                <w:rFonts w:ascii="Georgia" w:hAnsi="Georgia"/>
                <w:szCs w:val="21"/>
              </w:rPr>
              <w:t>400 612 8668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010-66181099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010-66182099</w:t>
            </w:r>
            <w:r w:rsidRPr="007148EA">
              <w:rPr>
                <w:rFonts w:ascii="Georgia"/>
                <w:szCs w:val="21"/>
              </w:rPr>
              <w:t>、</w:t>
            </w:r>
            <w:r w:rsidRPr="007148EA">
              <w:rPr>
                <w:rFonts w:ascii="Georgia" w:hAnsi="Georgia"/>
                <w:szCs w:val="21"/>
              </w:rPr>
              <w:t>010-66183099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Email</w:t>
            </w:r>
            <w:r>
              <w:rPr>
                <w:rFonts w:hint="eastAsia"/>
              </w:rPr>
              <w:t>：</w:t>
            </w:r>
          </w:p>
        </w:tc>
        <w:tc>
          <w:tcPr>
            <w:tcW w:w="7280" w:type="dxa"/>
          </w:tcPr>
          <w:p w:rsidR="00606C06" w:rsidRDefault="00D57DFE">
            <w:pPr/>
            <w:r>
              <w:rPr>
                <w:rFonts w:hint="eastAsia"/>
              </w:rPr>
              <w:t>Kf@20087.com</w:t>
            </w:r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在线阅读：</w:t>
            </w:r>
          </w:p>
        </w:tc>
        <w:tc>
          <w:tcPr>
            <w:tcW w:w="7280" w:type="dxa"/>
          </w:tcPr>
          <w:p w:rsidR="00606C06" w:rsidRDefault="000750F7" w:rsidP="00F966A1">
            <w:pPr>
              <w:wordWrap w:val="0"/>
            </w:pPr>
            <w:hyperlink r:id="rId16" w:history="1">
              <w:hyperlink r:id="R65114be39860405a" w:history="1">
                <w:r>
                  <w:rPr>
                    <w:rStyle w:val="Hyperlink"/>
                  </w:rPr>
                  <w:t>https://www.20087.com/M_QiTa/85/WeiShengWuFaJiaoShiChangQianJingFenXiYuCe.html</w:t>
                </w:r>
              </w:hyperlink>
            </w:hyperlink>
          </w:p>
        </w:tc>
      </w:tr>
      <w:tr w:rsidR="00606C06" w:rsidTr="00F71BC0">
        <w:trPr>
          <w:jc w:val="center"/>
        </w:trPr>
        <w:tc>
          <w:tcPr>
            <w:tcW w:w="1418" w:type="dxa"/>
          </w:tcPr>
          <w:p w:rsidR="00606C06" w:rsidRDefault="00D57DFE">
            <w:pPr>
              <w:jc w:val="right"/>
            </w:pPr>
            <w:r>
              <w:rPr>
                <w:rFonts w:hint="eastAsia"/>
              </w:rPr>
              <w:t>温馨提示：</w:t>
            </w:r>
          </w:p>
        </w:tc>
        <w:tc>
          <w:tcPr>
            <w:tcW w:w="7280" w:type="dxa"/>
          </w:tcPr>
          <w:p w:rsidR="00606C06" w:rsidRDefault="00CF37F4" w:rsidP="00CF37F4">
            <w:pPr/>
            <w:r>
              <w:rPr>
                <w:rFonts w:hint="eastAsia"/>
              </w:rPr>
              <w:t>订购英文、日文等</w:t>
            </w:r>
            <w:r w:rsidR="00D57DFE">
              <w:rPr>
                <w:rFonts w:hint="eastAsia"/>
              </w:rPr>
              <w:t>版本报告，请拨打订购咨询电话或发邮件咨询。</w:t>
            </w:r>
          </w:p>
        </w:tc>
      </w:tr>
    </w:tbl>
    <w:p w:rsidR="00606C06" w:rsidRDefault="00606C06">
      <w:pPr/>
    </w:p>
    <w:p w:rsidR="00606C06" w:rsidRDefault="00D57DFE">
      <w:pPr>
        <w:pStyle w:val="a8"/>
      </w:pPr>
      <w:r>
        <w:rPr>
          <w:rFonts w:hint="eastAsia"/>
        </w:rPr>
        <w:t>二、内容简介</w:t>
      </w:r>
    </w:p>
    <w:p w:rsidR="00606C06" w:rsidRDefault="001D0C62" w:rsidP="00B70CB6">
      <w:pPr>
        <w:pStyle w:val="a7"/>
        <w:spacing w:before="156" w:after="93" w:line="360" w:lineRule="auto"/>
        <w:ind w:firstLineChars="0" w:firstLine="0"/>
      </w:pPr>
      <w:r>
        <w:rPr>
          <w:rFonts w:hint="eastAsia"/>
        </w:rPr>
        <w:t>　　微生物发酵技术是利用微生物在适宜条件下进行生物转化的过程，广泛应用于食品、医药、化工和能源等多个领域。近年来，随着基因工程和合成生物学的发展，微生物发酵技术得以进一步优化，实现了对微生物代谢途径的精准调控，提高了目标产物的产率和纯度。目前，微生物发酵正朝着高通量筛选、连续发酵和多菌种协同发酵的方向发展，以应对工业化大规模生产的挑战。</w:t>
      </w:r>
      <w:r>
        <w:rPr>
          <w:rFonts w:hint="eastAsia"/>
        </w:rPr>
        <w:br/>
      </w:r>
      <w:r>
        <w:rPr>
          <w:rFonts w:hint="eastAsia"/>
        </w:rPr>
        <w:t>　　未来，微生物发酵将更加注重生物多样性和系统生物学。生物多样性方面，将探索更多非传统微生物资源，如极端环境微生物和共生微生物，以发现新的生物活性物质和代谢途径。系统生物学方面，通过整合基因组学、蛋白质组学和代谢组学数据，将构建更全面的微生物代谢网络模型，指导发酵过程的优化和新产品开发。此外，随着生物经济的兴起，微生物发酵将更多地参与到生物基化学品、生物燃料和生物肥料的生产中，推动绿色经济的发展。</w:t>
      </w:r>
      <w:r>
        <w:rPr>
          <w:rFonts w:hint="eastAsia"/>
        </w:rPr>
        <w:br/>
      </w:r>
      <w:r>
        <w:rPr>
          <w:rFonts w:hint="eastAsia"/>
        </w:rPr>
        <w:t>　　《</w:t>
      </w:r>
      <w:hyperlink r:id="R65114be39860405a" w:history="1">
        <w:r>
          <w:rPr>
            <w:rStyle w:val="Hyperlink"/>
          </w:rPr>
          <w:t>2024-2030年中国微生物发酵行业现状研究分析及市场前景预测报告</w:t>
        </w:r>
      </w:hyperlink>
      <w:r>
        <w:rPr>
          <w:rFonts w:hint="eastAsia"/>
        </w:rPr>
        <w:t>》基于权威机构及微生物发酵相关协会等渠道的资料数据，全方位分析了微生物发酵行业的现状、市场需求及市场规模。微生物发酵报告详细探讨了产业链结构、价格趋势，并对微生物发酵各细分市场进行了研究。同时，预测了微生物发酵市场前景与发展趋势，剖析了品牌竞争状态、市场集中度，以及微生物发酵重点企业的表现。此外，微生物发酵报告还揭示了行业发展的潜在风险与机遇，为微生物发酵行业企业及相关投资者提供了科学、规范、客观的战略建议，是制定正确竞争和投资决策的重要依据。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第一部分 行业发展现状</w:t>
      </w:r>
      <w:r>
        <w:rPr>
          <w:rFonts w:hint="eastAsia"/>
        </w:rPr>
        <w:br/>
      </w:r>
      <w:r>
        <w:rPr>
          <w:rFonts w:hint="eastAsia"/>
        </w:rPr>
        <w:t>第一章 微生物发酵市场发展概况</w:t>
      </w:r>
      <w:r>
        <w:rPr>
          <w:rFonts w:hint="eastAsia"/>
        </w:rPr>
        <w:br/>
      </w:r>
      <w:r>
        <w:rPr>
          <w:rFonts w:hint="eastAsia"/>
        </w:rPr>
        <w:t>　　第一节 微生物发酵市场及产品介绍</w:t>
      </w:r>
      <w:r>
        <w:rPr>
          <w:rFonts w:hint="eastAsia"/>
        </w:rPr>
        <w:br/>
      </w:r>
      <w:r>
        <w:rPr>
          <w:rFonts w:hint="eastAsia"/>
        </w:rPr>
        <w:t>　　第二节 2019-2024年微生物发酵市场发展概况</w:t>
      </w:r>
      <w:r>
        <w:rPr>
          <w:rFonts w:hint="eastAsia"/>
        </w:rPr>
        <w:br/>
      </w:r>
      <w:r>
        <w:rPr>
          <w:rFonts w:hint="eastAsia"/>
        </w:rPr>
        <w:t>　　第三节 微生物发酵市场相关政策法规</w:t>
      </w:r>
      <w:r>
        <w:rPr>
          <w:rFonts w:hint="eastAsia"/>
        </w:rPr>
        <w:br/>
      </w:r>
      <w:r>
        <w:rPr>
          <w:rFonts w:hint="eastAsia"/>
        </w:rPr>
        <w:t>　　第四节 2024-2030年微生物发酵市场发展前景预测</w:t>
      </w:r>
      <w:r>
        <w:rPr>
          <w:rFonts w:hint="eastAsia"/>
        </w:rPr>
        <w:br/>
      </w:r>
      <w:r>
        <w:rPr>
          <w:rFonts w:hint="eastAsia"/>
        </w:rPr>
        <w:t>　　第五节 行业技术水平</w:t>
      </w:r>
      <w:r>
        <w:rPr>
          <w:rFonts w:hint="eastAsia"/>
        </w:rPr>
        <w:br/>
      </w:r>
      <w:r>
        <w:rPr>
          <w:rFonts w:hint="eastAsia"/>
        </w:rPr>
        <w:t>　　第六节 市场推广在微生物发酵行业的重要性</w:t>
      </w:r>
      <w:r>
        <w:rPr>
          <w:rFonts w:hint="eastAsia"/>
        </w:rPr>
        <w:br/>
      </w:r>
      <w:r>
        <w:rPr>
          <w:rFonts w:hint="eastAsia"/>
        </w:rPr>
        <w:t>　　第七节 营销渠道建设是微生物发酵市场竞争的关键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第二章 微生物发酵市场容量/市场规模分析</w:t>
      </w:r>
      <w:r>
        <w:rPr>
          <w:rFonts w:hint="eastAsia"/>
        </w:rPr>
        <w:br/>
      </w:r>
      <w:r>
        <w:rPr>
          <w:rFonts w:hint="eastAsia"/>
        </w:rPr>
        <w:t>　　第一节 2019-2024年微生物发酵市场容量/市场规模统计</w:t>
      </w:r>
      <w:r>
        <w:rPr>
          <w:rFonts w:hint="eastAsia"/>
        </w:rPr>
        <w:br/>
      </w:r>
      <w:r>
        <w:rPr>
          <w:rFonts w:hint="eastAsia"/>
        </w:rPr>
        <w:t>　　第二节 微生物发酵下游应用市场结构</w:t>
      </w:r>
      <w:r>
        <w:rPr>
          <w:rFonts w:hint="eastAsia"/>
        </w:rPr>
        <w:br/>
      </w:r>
      <w:r>
        <w:rPr>
          <w:rFonts w:hint="eastAsia"/>
        </w:rPr>
        <w:t>　　第三节 影响微生物发酵市场容量/市场规模增长的因素</w:t>
      </w:r>
      <w:r>
        <w:rPr>
          <w:rFonts w:hint="eastAsia"/>
        </w:rPr>
        <w:br/>
      </w:r>
      <w:r>
        <w:rPr>
          <w:rFonts w:hint="eastAsia"/>
        </w:rPr>
        <w:t>　　第四节 2024-2030年我国微生物发酵市场容量/市场规模预测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第三章 2024-2030年中国微生物发酵企业PEST（环境）分析</w:t>
      </w:r>
      <w:r>
        <w:rPr>
          <w:rFonts w:hint="eastAsia"/>
        </w:rPr>
        <w:br/>
      </w:r>
      <w:r>
        <w:rPr>
          <w:rFonts w:hint="eastAsia"/>
        </w:rPr>
        <w:t>　　第一节 经济环境分析</w:t>
      </w:r>
      <w:r>
        <w:rPr>
          <w:rFonts w:hint="eastAsia"/>
        </w:rPr>
        <w:br/>
      </w:r>
      <w:r>
        <w:rPr>
          <w:rFonts w:hint="eastAsia"/>
        </w:rPr>
        <w:t>　　　　一、2019-2024年中国经济运行分析</w:t>
      </w:r>
      <w:r>
        <w:rPr>
          <w:rFonts w:hint="eastAsia"/>
        </w:rPr>
        <w:br/>
      </w:r>
      <w:r>
        <w:rPr>
          <w:rFonts w:hint="eastAsia"/>
        </w:rPr>
        <w:t>　　　　二、2024-2030年中国宏观经济发展预测</w:t>
      </w:r>
      <w:r>
        <w:rPr>
          <w:rFonts w:hint="eastAsia"/>
        </w:rPr>
        <w:br/>
      </w:r>
      <w:r>
        <w:rPr>
          <w:rFonts w:hint="eastAsia"/>
        </w:rPr>
        <w:t>　　第二节 社会环境分析</w:t>
      </w:r>
      <w:r>
        <w:rPr>
          <w:rFonts w:hint="eastAsia"/>
        </w:rPr>
        <w:br/>
      </w:r>
      <w:r>
        <w:rPr>
          <w:rFonts w:hint="eastAsia"/>
        </w:rPr>
        <w:t>　　　　一、人口环境分析</w:t>
      </w:r>
      <w:r>
        <w:rPr>
          <w:rFonts w:hint="eastAsia"/>
        </w:rPr>
        <w:br/>
      </w:r>
      <w:r>
        <w:rPr>
          <w:rFonts w:hint="eastAsia"/>
        </w:rPr>
        <w:t>　　　　二、教育环境分析</w:t>
      </w:r>
      <w:r>
        <w:rPr>
          <w:rFonts w:hint="eastAsia"/>
        </w:rPr>
        <w:br/>
      </w:r>
      <w:r>
        <w:rPr>
          <w:rFonts w:hint="eastAsia"/>
        </w:rPr>
        <w:t>　　　　三、文化环境分析</w:t>
      </w:r>
      <w:r>
        <w:rPr>
          <w:rFonts w:hint="eastAsia"/>
        </w:rPr>
        <w:br/>
      </w:r>
      <w:r>
        <w:rPr>
          <w:rFonts w:hint="eastAsia"/>
        </w:rPr>
        <w:t>　　　　四、生态环境分析</w:t>
      </w:r>
      <w:r>
        <w:rPr>
          <w:rFonts w:hint="eastAsia"/>
        </w:rPr>
        <w:br/>
      </w:r>
      <w:r>
        <w:rPr>
          <w:rFonts w:hint="eastAsia"/>
        </w:rPr>
        <w:t>　　　　五、中国城镇化率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第四章 微生物发酵市场推广策略研究</w:t>
      </w:r>
      <w:r>
        <w:rPr>
          <w:rFonts w:hint="eastAsia"/>
        </w:rPr>
        <w:br/>
      </w:r>
      <w:r>
        <w:rPr>
          <w:rFonts w:hint="eastAsia"/>
        </w:rPr>
        <w:t>　　第一节 微生物发酵行业新品推广模式研究</w:t>
      </w:r>
      <w:r>
        <w:rPr>
          <w:rFonts w:hint="eastAsia"/>
        </w:rPr>
        <w:br/>
      </w:r>
      <w:r>
        <w:rPr>
          <w:rFonts w:hint="eastAsia"/>
        </w:rPr>
        <w:t>　　第二节 微生物发酵市场终端产品发布特点</w:t>
      </w:r>
      <w:r>
        <w:rPr>
          <w:rFonts w:hint="eastAsia"/>
        </w:rPr>
        <w:br/>
      </w:r>
      <w:r>
        <w:rPr>
          <w:rFonts w:hint="eastAsia"/>
        </w:rPr>
        <w:t>　　第三节 微生物发酵市场中间商、代理商参与机制</w:t>
      </w:r>
      <w:r>
        <w:rPr>
          <w:rFonts w:hint="eastAsia"/>
        </w:rPr>
        <w:br/>
      </w:r>
      <w:r>
        <w:rPr>
          <w:rFonts w:hint="eastAsia"/>
        </w:rPr>
        <w:t>　　第四节 微生物发酵市场网络推广策略研究</w:t>
      </w:r>
      <w:r>
        <w:rPr>
          <w:rFonts w:hint="eastAsia"/>
        </w:rPr>
        <w:br/>
      </w:r>
      <w:r>
        <w:rPr>
          <w:rFonts w:hint="eastAsia"/>
        </w:rPr>
        <w:t>　　第五节 微生物发酵市场广告宣传策略</w:t>
      </w:r>
      <w:r>
        <w:rPr>
          <w:rFonts w:hint="eastAsia"/>
        </w:rPr>
        <w:br/>
      </w:r>
      <w:r>
        <w:rPr>
          <w:rFonts w:hint="eastAsia"/>
        </w:rPr>
        <w:t>　　第六节 微生物发酵市场推广与配套供货渠道建立</w:t>
      </w:r>
      <w:r>
        <w:rPr>
          <w:rFonts w:hint="eastAsia"/>
        </w:rPr>
        <w:br/>
      </w:r>
      <w:r>
        <w:rPr>
          <w:rFonts w:hint="eastAsia"/>
        </w:rPr>
        <w:t>　　第七节 微生物发酵新产品推广常见问题</w:t>
      </w:r>
      <w:r>
        <w:rPr>
          <w:rFonts w:hint="eastAsia"/>
        </w:rPr>
        <w:br/>
      </w:r>
      <w:r>
        <w:rPr>
          <w:rFonts w:hint="eastAsia"/>
        </w:rPr>
        <w:t>　　第九节 直销模式在微生物发酵推广过程中的应用</w:t>
      </w:r>
      <w:r>
        <w:rPr>
          <w:rFonts w:hint="eastAsia"/>
        </w:rPr>
        <w:br/>
      </w:r>
      <w:r>
        <w:rPr>
          <w:rFonts w:hint="eastAsia"/>
        </w:rPr>
        <w:t>　　第十节 国外微生物发酵市场推广经验介绍（欧美、韩日市场）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第二部分 行业盈利模式</w:t>
      </w:r>
      <w:r>
        <w:rPr>
          <w:rFonts w:hint="eastAsia"/>
        </w:rPr>
        <w:br/>
      </w:r>
      <w:r>
        <w:rPr>
          <w:rFonts w:hint="eastAsia"/>
        </w:rPr>
        <w:t>第五章 微生物发酵盈利模式研究</w:t>
      </w:r>
      <w:r>
        <w:rPr>
          <w:rFonts w:hint="eastAsia"/>
        </w:rPr>
        <w:br/>
      </w:r>
      <w:r>
        <w:rPr>
          <w:rFonts w:hint="eastAsia"/>
        </w:rPr>
        <w:t>　　第一节 微生物发酵市场盈利模式的分类</w:t>
      </w:r>
      <w:r>
        <w:rPr>
          <w:rFonts w:hint="eastAsia"/>
        </w:rPr>
        <w:br/>
      </w:r>
      <w:r>
        <w:rPr>
          <w:rFonts w:hint="eastAsia"/>
        </w:rPr>
        <w:t>　　第二节 微生物发酵生产企业的盈利模式研究</w:t>
      </w:r>
      <w:r>
        <w:rPr>
          <w:rFonts w:hint="eastAsia"/>
        </w:rPr>
        <w:br/>
      </w:r>
      <w:r>
        <w:rPr>
          <w:rFonts w:hint="eastAsia"/>
        </w:rPr>
        <w:t>　　第三节 微生物发酵经销代理商盈利模式研究</w:t>
      </w:r>
      <w:r>
        <w:rPr>
          <w:rFonts w:hint="eastAsia"/>
        </w:rPr>
        <w:br/>
      </w:r>
      <w:r>
        <w:rPr>
          <w:rFonts w:hint="eastAsia"/>
        </w:rPr>
        <w:t>　　第四节 盈利模式对市场推广策略选择的影响</w:t>
      </w:r>
      <w:r>
        <w:rPr>
          <w:rFonts w:hint="eastAsia"/>
        </w:rPr>
        <w:br/>
      </w:r>
      <w:r>
        <w:rPr>
          <w:rFonts w:hint="eastAsia"/>
        </w:rPr>
        <w:t>　　第五节 独立经销网络盈利模式改进研究</w:t>
      </w:r>
      <w:r>
        <w:rPr>
          <w:rFonts w:hint="eastAsia"/>
        </w:rPr>
        <w:br/>
      </w:r>
      <w:r>
        <w:rPr>
          <w:rFonts w:hint="eastAsia"/>
        </w:rPr>
        <w:t>　　第六节 第三方经销网络优化管理研究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第六章 微生物发酵营销渠道建立策略</w:t>
      </w:r>
      <w:r>
        <w:rPr>
          <w:rFonts w:hint="eastAsia"/>
        </w:rPr>
        <w:br/>
      </w:r>
      <w:r>
        <w:rPr>
          <w:rFonts w:hint="eastAsia"/>
        </w:rPr>
        <w:t>　　第一节 微生物发酵市场营销渠道结构</w:t>
      </w:r>
      <w:r>
        <w:rPr>
          <w:rFonts w:hint="eastAsia"/>
        </w:rPr>
        <w:br/>
      </w:r>
      <w:r>
        <w:rPr>
          <w:rFonts w:hint="eastAsia"/>
        </w:rPr>
        <w:t>　　　　一、主力型渠道</w:t>
      </w:r>
      <w:r>
        <w:rPr>
          <w:rFonts w:hint="eastAsia"/>
        </w:rPr>
        <w:br/>
      </w:r>
      <w:r>
        <w:rPr>
          <w:rFonts w:hint="eastAsia"/>
        </w:rPr>
        <w:t>　　　　二、紧凑型渠道</w:t>
      </w:r>
      <w:r>
        <w:rPr>
          <w:rFonts w:hint="eastAsia"/>
        </w:rPr>
        <w:br/>
      </w:r>
      <w:r>
        <w:rPr>
          <w:rFonts w:hint="eastAsia"/>
        </w:rPr>
        <w:t>　　　　三、伙伴型渠道</w:t>
      </w:r>
      <w:r>
        <w:rPr>
          <w:rFonts w:hint="eastAsia"/>
        </w:rPr>
        <w:br/>
      </w:r>
      <w:r>
        <w:rPr>
          <w:rFonts w:hint="eastAsia"/>
        </w:rPr>
        <w:t>　　　　四、松散型渠道</w:t>
      </w:r>
      <w:r>
        <w:rPr>
          <w:rFonts w:hint="eastAsia"/>
        </w:rPr>
        <w:br/>
      </w:r>
      <w:r>
        <w:rPr>
          <w:rFonts w:hint="eastAsia"/>
        </w:rPr>
        <w:t>　　第二节 微生物发酵市场伙伴型渠道研究</w:t>
      </w:r>
      <w:r>
        <w:rPr>
          <w:rFonts w:hint="eastAsia"/>
        </w:rPr>
        <w:br/>
      </w:r>
      <w:r>
        <w:rPr>
          <w:rFonts w:hint="eastAsia"/>
        </w:rPr>
        <w:t>　　第三节 微生物发酵市场直接分销渠道与间接分销渠道管理</w:t>
      </w:r>
      <w:r>
        <w:rPr>
          <w:rFonts w:hint="eastAsia"/>
        </w:rPr>
        <w:br/>
      </w:r>
      <w:r>
        <w:rPr>
          <w:rFonts w:hint="eastAsia"/>
        </w:rPr>
        <w:t>　　　　一、直接分销渠道</w:t>
      </w:r>
      <w:r>
        <w:rPr>
          <w:rFonts w:hint="eastAsia"/>
        </w:rPr>
        <w:br/>
      </w:r>
      <w:r>
        <w:rPr>
          <w:rFonts w:hint="eastAsia"/>
        </w:rPr>
        <w:t>　　　　二、间接分销渠道（长渠道、短渠道）</w:t>
      </w:r>
      <w:r>
        <w:rPr>
          <w:rFonts w:hint="eastAsia"/>
        </w:rPr>
        <w:br/>
      </w:r>
      <w:r>
        <w:rPr>
          <w:rFonts w:hint="eastAsia"/>
        </w:rPr>
        <w:t>　　第四节 大客户直供销售渠道建立策略</w:t>
      </w:r>
      <w:r>
        <w:rPr>
          <w:rFonts w:hint="eastAsia"/>
        </w:rPr>
        <w:br/>
      </w:r>
      <w:r>
        <w:rPr>
          <w:rFonts w:hint="eastAsia"/>
        </w:rPr>
        <w:t>　　第五节 网络经销渠道优化</w:t>
      </w:r>
      <w:r>
        <w:rPr>
          <w:rFonts w:hint="eastAsia"/>
        </w:rPr>
        <w:br/>
      </w:r>
      <w:r>
        <w:rPr>
          <w:rFonts w:hint="eastAsia"/>
        </w:rPr>
        <w:t>　　第六节 渠道经销管理问题</w:t>
      </w:r>
      <w:r>
        <w:rPr>
          <w:rFonts w:hint="eastAsia"/>
        </w:rPr>
        <w:br/>
      </w:r>
      <w:r>
        <w:rPr>
          <w:rFonts w:hint="eastAsia"/>
        </w:rPr>
        <w:t>　　　　一、现金流管理</w:t>
      </w:r>
      <w:r>
        <w:rPr>
          <w:rFonts w:hint="eastAsia"/>
        </w:rPr>
        <w:br/>
      </w:r>
      <w:r>
        <w:rPr>
          <w:rFonts w:hint="eastAsia"/>
        </w:rPr>
        <w:t>　　　　二、货品进出物流管理</w:t>
      </w:r>
      <w:r>
        <w:rPr>
          <w:rFonts w:hint="eastAsia"/>
        </w:rPr>
        <w:br/>
      </w:r>
      <w:r>
        <w:rPr>
          <w:rFonts w:hint="eastAsia"/>
        </w:rPr>
        <w:t>　　　　三、售后服务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第七章 微生物发酵市场客户群研究与渠道匹配分析</w:t>
      </w:r>
      <w:r>
        <w:rPr>
          <w:rFonts w:hint="eastAsia"/>
        </w:rPr>
        <w:br/>
      </w:r>
      <w:r>
        <w:rPr>
          <w:rFonts w:hint="eastAsia"/>
        </w:rPr>
        <w:t>　　第一节 微生物发酵主要客户群消费特征分析</w:t>
      </w:r>
      <w:r>
        <w:rPr>
          <w:rFonts w:hint="eastAsia"/>
        </w:rPr>
        <w:br/>
      </w:r>
      <w:r>
        <w:rPr>
          <w:rFonts w:hint="eastAsia"/>
        </w:rPr>
        <w:t>　　第二节 微生物发酵主要销售渠道客户群稳定性分析</w:t>
      </w:r>
      <w:r>
        <w:rPr>
          <w:rFonts w:hint="eastAsia"/>
        </w:rPr>
        <w:br/>
      </w:r>
      <w:r>
        <w:rPr>
          <w:rFonts w:hint="eastAsia"/>
        </w:rPr>
        <w:t>　　第三节 大客户经销渠道构建问题研究</w:t>
      </w:r>
      <w:r>
        <w:rPr>
          <w:rFonts w:hint="eastAsia"/>
        </w:rPr>
        <w:br/>
      </w:r>
      <w:r>
        <w:rPr>
          <w:rFonts w:hint="eastAsia"/>
        </w:rPr>
        <w:t>　　第四节 渠道经销商维护策略研究</w:t>
      </w:r>
      <w:r>
        <w:rPr>
          <w:rFonts w:hint="eastAsia"/>
        </w:rPr>
        <w:br/>
      </w:r>
      <w:r>
        <w:rPr>
          <w:rFonts w:hint="eastAsia"/>
        </w:rPr>
        <w:t>　　第五节 微生物发酵市场客户群消费趋势与营销渠道发展方向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第三部分 行业投资战略</w:t>
      </w:r>
      <w:r>
        <w:rPr>
          <w:rFonts w:hint="eastAsia"/>
        </w:rPr>
        <w:br/>
      </w:r>
      <w:r>
        <w:rPr>
          <w:rFonts w:hint="eastAsia"/>
        </w:rPr>
        <w:t>第八章 微生物发酵行业投资战略研究</w:t>
      </w:r>
      <w:r>
        <w:rPr>
          <w:rFonts w:hint="eastAsia"/>
        </w:rPr>
        <w:br/>
      </w:r>
      <w:r>
        <w:rPr>
          <w:rFonts w:hint="eastAsia"/>
        </w:rPr>
        <w:t>　　第一节 品牌战略思考</w:t>
      </w:r>
      <w:r>
        <w:rPr>
          <w:rFonts w:hint="eastAsia"/>
        </w:rPr>
        <w:br/>
      </w:r>
      <w:r>
        <w:rPr>
          <w:rFonts w:hint="eastAsia"/>
        </w:rPr>
        <w:t>　　　　一、微生物发酵品牌的重要性</w:t>
      </w:r>
      <w:r>
        <w:rPr>
          <w:rFonts w:hint="eastAsia"/>
        </w:rPr>
        <w:br/>
      </w:r>
      <w:r>
        <w:rPr>
          <w:rFonts w:hint="eastAsia"/>
        </w:rPr>
        <w:t>　　　　二、微生物发酵实施品牌战略的意义</w:t>
      </w:r>
      <w:r>
        <w:rPr>
          <w:rFonts w:hint="eastAsia"/>
        </w:rPr>
        <w:br/>
      </w:r>
      <w:r>
        <w:rPr>
          <w:rFonts w:hint="eastAsia"/>
        </w:rPr>
        <w:t>　　　　三、企业的品牌战略</w:t>
      </w:r>
      <w:r>
        <w:rPr>
          <w:rFonts w:hint="eastAsia"/>
        </w:rPr>
        <w:br/>
      </w:r>
      <w:r>
        <w:rPr>
          <w:rFonts w:hint="eastAsia"/>
        </w:rPr>
        <w:t>　　　　四、品牌的竞争趋势</w:t>
      </w:r>
      <w:r>
        <w:rPr>
          <w:rFonts w:hint="eastAsia"/>
        </w:rPr>
        <w:br/>
      </w:r>
      <w:r>
        <w:rPr>
          <w:rFonts w:hint="eastAsia"/>
        </w:rPr>
        <w:t>　　　　五、品牌战略管理的策略</w:t>
      </w:r>
      <w:r>
        <w:rPr>
          <w:rFonts w:hint="eastAsia"/>
        </w:rPr>
        <w:br/>
      </w:r>
      <w:r>
        <w:rPr>
          <w:rFonts w:hint="eastAsia"/>
        </w:rPr>
        <w:t>　　第二节 企业经营管理策略</w:t>
      </w:r>
      <w:r>
        <w:rPr>
          <w:rFonts w:hint="eastAsia"/>
        </w:rPr>
        <w:br/>
      </w:r>
      <w:r>
        <w:rPr>
          <w:rFonts w:hint="eastAsia"/>
        </w:rPr>
        <w:t>　　　　一、成本控制策略</w:t>
      </w:r>
      <w:r>
        <w:rPr>
          <w:rFonts w:hint="eastAsia"/>
        </w:rPr>
        <w:br/>
      </w:r>
      <w:r>
        <w:rPr>
          <w:rFonts w:hint="eastAsia"/>
        </w:rPr>
        <w:t>　　　　二、定价策略</w:t>
      </w:r>
      <w:r>
        <w:rPr>
          <w:rFonts w:hint="eastAsia"/>
        </w:rPr>
        <w:br/>
      </w:r>
      <w:r>
        <w:rPr>
          <w:rFonts w:hint="eastAsia"/>
        </w:rPr>
        <w:t>　　　　三、竞争策略</w:t>
      </w:r>
      <w:r>
        <w:rPr>
          <w:rFonts w:hint="eastAsia"/>
        </w:rPr>
        <w:br/>
      </w:r>
      <w:r>
        <w:rPr>
          <w:rFonts w:hint="eastAsia"/>
        </w:rPr>
        <w:t>　　　　四、并购重组策略</w:t>
      </w:r>
      <w:r>
        <w:rPr>
          <w:rFonts w:hint="eastAsia"/>
        </w:rPr>
        <w:br/>
      </w:r>
      <w:r>
        <w:rPr>
          <w:rFonts w:hint="eastAsia"/>
        </w:rPr>
        <w:t>　　　　五、营销策略</w:t>
      </w:r>
      <w:r>
        <w:rPr>
          <w:rFonts w:hint="eastAsia"/>
        </w:rPr>
        <w:br/>
      </w:r>
      <w:r>
        <w:rPr>
          <w:rFonts w:hint="eastAsia"/>
        </w:rPr>
        <w:t>　　　　六、人力资源</w:t>
      </w:r>
      <w:r>
        <w:rPr>
          <w:rFonts w:hint="eastAsia"/>
        </w:rPr>
        <w:br/>
      </w:r>
      <w:r>
        <w:rPr>
          <w:rFonts w:hint="eastAsia"/>
        </w:rPr>
        <w:t>　　　　七、财务管理</w:t>
      </w:r>
      <w:r>
        <w:rPr>
          <w:rFonts w:hint="eastAsia"/>
        </w:rPr>
        <w:br/>
      </w:r>
      <w:r>
        <w:rPr>
          <w:rFonts w:hint="eastAsia"/>
        </w:rPr>
        <w:t>　　　　八、国际化策略</w:t>
      </w:r>
      <w:r>
        <w:rPr>
          <w:rFonts w:hint="eastAsia"/>
        </w:rPr>
        <w:br/>
      </w:r>
      <w:r>
        <w:rPr>
          <w:rFonts w:hint="eastAsia"/>
        </w:rPr>
        <w:t>　　第三节 行业发展战略研究</w:t>
      </w:r>
      <w:r>
        <w:rPr>
          <w:rFonts w:hint="eastAsia"/>
        </w:rPr>
        <w:br/>
      </w:r>
      <w:r>
        <w:rPr>
          <w:rFonts w:hint="eastAsia"/>
        </w:rPr>
        <w:t>　　　　一、战略综合规划</w:t>
      </w:r>
      <w:r>
        <w:rPr>
          <w:rFonts w:hint="eastAsia"/>
        </w:rPr>
        <w:br/>
      </w:r>
      <w:r>
        <w:rPr>
          <w:rFonts w:hint="eastAsia"/>
        </w:rPr>
        <w:t>　　　　二、技术开发战略</w:t>
      </w:r>
      <w:r>
        <w:rPr>
          <w:rFonts w:hint="eastAsia"/>
        </w:rPr>
        <w:br/>
      </w:r>
      <w:r>
        <w:rPr>
          <w:rFonts w:hint="eastAsia"/>
        </w:rPr>
        <w:t>　　　　三、业务组合战略</w:t>
      </w:r>
      <w:r>
        <w:rPr>
          <w:rFonts w:hint="eastAsia"/>
        </w:rPr>
        <w:br/>
      </w:r>
      <w:r>
        <w:rPr>
          <w:rFonts w:hint="eastAsia"/>
        </w:rPr>
        <w:t>　　　　四、区域战略规划</w:t>
      </w:r>
      <w:r>
        <w:rPr>
          <w:rFonts w:hint="eastAsia"/>
        </w:rPr>
        <w:br/>
      </w:r>
      <w:r>
        <w:rPr>
          <w:rFonts w:hint="eastAsia"/>
        </w:rPr>
        <w:t>　　　　五、产业战略规划</w:t>
      </w:r>
      <w:r>
        <w:rPr>
          <w:rFonts w:hint="eastAsia"/>
        </w:rPr>
        <w:br/>
      </w:r>
      <w:r>
        <w:rPr>
          <w:rFonts w:hint="eastAsia"/>
        </w:rPr>
        <w:t>　　　　六、营销品牌战略</w:t>
      </w:r>
      <w:r>
        <w:rPr>
          <w:rFonts w:hint="eastAsia"/>
        </w:rPr>
        <w:br/>
      </w:r>
      <w:r>
        <w:rPr>
          <w:rFonts w:hint="eastAsia"/>
        </w:rPr>
        <w:t>　　　　七、竞争战略规划</w:t>
      </w:r>
      <w:r>
        <w:rPr>
          <w:rFonts w:hint="eastAsia"/>
        </w:rPr>
        <w:br/>
      </w:r>
      <w:r>
        <w:rPr>
          <w:rFonts w:hint="eastAsia"/>
        </w:rPr>
        <w:t>　　第四节 微生物发酵市场的重点客户战略实施</w:t>
      </w:r>
      <w:r>
        <w:rPr>
          <w:rFonts w:hint="eastAsia"/>
        </w:rPr>
        <w:br/>
      </w:r>
      <w:r>
        <w:rPr>
          <w:rFonts w:hint="eastAsia"/>
        </w:rPr>
        <w:t>　　　　一、实施重点客户战略的必要性</w:t>
      </w:r>
      <w:r>
        <w:rPr>
          <w:rFonts w:hint="eastAsia"/>
        </w:rPr>
        <w:br/>
      </w:r>
      <w:r>
        <w:rPr>
          <w:rFonts w:hint="eastAsia"/>
        </w:rPr>
        <w:t>　　　　二、合理确立重点客户</w:t>
      </w:r>
      <w:r>
        <w:rPr>
          <w:rFonts w:hint="eastAsia"/>
        </w:rPr>
        <w:br/>
      </w:r>
      <w:r>
        <w:rPr>
          <w:rFonts w:hint="eastAsia"/>
        </w:rPr>
        <w:t>　　　　三、重点客户战略管理</w:t>
      </w:r>
      <w:r>
        <w:rPr>
          <w:rFonts w:hint="eastAsia"/>
        </w:rPr>
        <w:br/>
      </w:r>
      <w:r>
        <w:rPr>
          <w:rFonts w:hint="eastAsia"/>
        </w:rPr>
        <w:t>　　　　四、重点客户管理功能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第九章 重点企业市场推广策略与营销渠道规划案例</w:t>
      </w:r>
      <w:r>
        <w:rPr>
          <w:rFonts w:hint="eastAsia"/>
        </w:rPr>
        <w:br/>
      </w:r>
      <w:r>
        <w:rPr>
          <w:rFonts w:hint="eastAsia"/>
        </w:rPr>
        <w:t>　　第一节 梅花生物科技集团股份有限公司</w:t>
      </w:r>
      <w:r>
        <w:rPr>
          <w:rFonts w:hint="eastAsia"/>
        </w:rPr>
        <w:br/>
      </w:r>
      <w:r>
        <w:rPr>
          <w:rFonts w:hint="eastAsia"/>
        </w:rPr>
        <w:t>　　　　一、企业介绍与微生物发酵相关业务</w:t>
      </w:r>
      <w:r>
        <w:rPr>
          <w:rFonts w:hint="eastAsia"/>
        </w:rPr>
        <w:br/>
      </w:r>
      <w:r>
        <w:rPr>
          <w:rFonts w:hint="eastAsia"/>
        </w:rPr>
        <w:t>　　　　二、产业优势</w:t>
      </w:r>
      <w:r>
        <w:rPr>
          <w:rFonts w:hint="eastAsia"/>
        </w:rPr>
        <w:br/>
      </w:r>
      <w:r>
        <w:rPr>
          <w:rFonts w:hint="eastAsia"/>
        </w:rPr>
        <w:t>　　　　三、2019-2024年产销统计数据</w:t>
      </w:r>
      <w:r>
        <w:rPr>
          <w:rFonts w:hint="eastAsia"/>
        </w:rPr>
        <w:br/>
      </w:r>
      <w:r>
        <w:rPr>
          <w:rFonts w:hint="eastAsia"/>
        </w:rPr>
        <w:t>　　　　四、企业经营情况分析</w:t>
      </w:r>
      <w:r>
        <w:rPr>
          <w:rFonts w:hint="eastAsia"/>
        </w:rPr>
        <w:br/>
      </w:r>
      <w:r>
        <w:rPr>
          <w:rFonts w:hint="eastAsia"/>
        </w:rPr>
        <w:t>　　第二节 保龄宝生物股份有限公司</w:t>
      </w:r>
      <w:r>
        <w:rPr>
          <w:rFonts w:hint="eastAsia"/>
        </w:rPr>
        <w:br/>
      </w:r>
      <w:r>
        <w:rPr>
          <w:rFonts w:hint="eastAsia"/>
        </w:rPr>
        <w:t>　　　　一、企业介绍与微生物发酵相关业务</w:t>
      </w:r>
      <w:r>
        <w:rPr>
          <w:rFonts w:hint="eastAsia"/>
        </w:rPr>
        <w:br/>
      </w:r>
      <w:r>
        <w:rPr>
          <w:rFonts w:hint="eastAsia"/>
        </w:rPr>
        <w:t>　　　　二、2019-2024年产销统计数据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第三节 阜丰集团有限公司</w:t>
      </w:r>
      <w:r>
        <w:rPr>
          <w:rFonts w:hint="eastAsia"/>
        </w:rPr>
        <w:br/>
      </w:r>
      <w:r>
        <w:rPr>
          <w:rFonts w:hint="eastAsia"/>
        </w:rPr>
        <w:t>　　　　一、企业介绍与微生物发酵相关业务</w:t>
      </w:r>
      <w:r>
        <w:rPr>
          <w:rFonts w:hint="eastAsia"/>
        </w:rPr>
        <w:br/>
      </w:r>
      <w:r>
        <w:rPr>
          <w:rFonts w:hint="eastAsia"/>
        </w:rPr>
        <w:t>　　　　二、2019-2024年产销统计数据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第四节 河南天冠企业集团有限公司</w:t>
      </w:r>
      <w:r>
        <w:rPr>
          <w:rFonts w:hint="eastAsia"/>
        </w:rPr>
        <w:br/>
      </w:r>
      <w:r>
        <w:rPr>
          <w:rFonts w:hint="eastAsia"/>
        </w:rPr>
        <w:t>　　　　一、企业介绍与微生物发酵相关业务</w:t>
      </w:r>
      <w:r>
        <w:rPr>
          <w:rFonts w:hint="eastAsia"/>
        </w:rPr>
        <w:br/>
      </w:r>
      <w:r>
        <w:rPr>
          <w:rFonts w:hint="eastAsia"/>
        </w:rPr>
        <w:t>　　　　二、2019-2024年产销统计数据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t>　　第五节 中^智^林^　吉林燃料乙醇有限公司</w:t>
      </w:r>
      <w:r>
        <w:rPr>
          <w:rFonts w:hint="eastAsia"/>
        </w:rPr>
        <w:br/>
      </w:r>
      <w:r>
        <w:rPr>
          <w:rFonts w:hint="eastAsia"/>
        </w:rPr>
        <w:t>　　　　一、企业介绍与微生物发酵相关业务</w:t>
      </w:r>
      <w:r>
        <w:rPr>
          <w:rFonts w:hint="eastAsia"/>
        </w:rPr>
        <w:br/>
      </w:r>
      <w:r>
        <w:rPr>
          <w:rFonts w:hint="eastAsia"/>
        </w:rPr>
        <w:t>　　　　二、2019-2024年产销统计数据</w:t>
      </w:r>
      <w:r>
        <w:rPr>
          <w:rFonts w:hint="eastAsia"/>
        </w:rPr>
        <w:br/>
      </w:r>
      <w:r>
        <w:rPr>
          <w:rFonts w:hint="eastAsia"/>
        </w:rPr>
        <w:t>　　　　三、企业经营情况分析</w:t>
      </w:r>
      <w:r>
        <w:rPr>
          <w:rFonts w:hint="eastAsia"/>
        </w:rPr>
        <w:br/>
      </w:r>
      <w:r>
        <w:rPr>
          <w:rFonts w:hint="eastAsia"/>
        </w:rPr>
        <w:br/>
      </w:r>
      <w:r>
        <w:rPr>
          <w:rFonts w:hint="eastAsia"/>
        </w:rPr>
        <w:t>图表目录</w:t>
      </w:r>
      <w:r>
        <w:rPr>
          <w:rFonts w:hint="eastAsia"/>
        </w:rPr>
        <w:br/>
      </w:r>
      <w:r>
        <w:rPr>
          <w:rFonts w:hint="eastAsia"/>
        </w:rPr>
        <w:t>　　图表 2024-2030年微生物发酵市场发展前景预测</w:t>
      </w:r>
      <w:r>
        <w:rPr>
          <w:rFonts w:hint="eastAsia"/>
        </w:rPr>
        <w:br/>
      </w:r>
      <w:r>
        <w:rPr>
          <w:rFonts w:hint="eastAsia"/>
        </w:rPr>
        <w:t>　　图表 2019-2024年微生物发酵市场容量统计</w:t>
      </w:r>
      <w:r>
        <w:rPr>
          <w:rFonts w:hint="eastAsia"/>
        </w:rPr>
        <w:br/>
      </w:r>
      <w:r>
        <w:rPr>
          <w:rFonts w:hint="eastAsia"/>
        </w:rPr>
        <w:t>　　图表 2019-2024年微生物发酵市场规模统计</w:t>
      </w:r>
      <w:r>
        <w:rPr>
          <w:rFonts w:hint="eastAsia"/>
        </w:rPr>
        <w:br/>
      </w:r>
      <w:r>
        <w:rPr>
          <w:rFonts w:hint="eastAsia"/>
        </w:rPr>
        <w:t>　　图表 微生物发酵下游应用市场结构</w:t>
      </w:r>
      <w:r>
        <w:rPr>
          <w:rFonts w:hint="eastAsia"/>
        </w:rPr>
        <w:br/>
      </w:r>
      <w:r>
        <w:rPr>
          <w:rFonts w:hint="eastAsia"/>
        </w:rPr>
        <w:t>　　图表 2024-2030年我国微生物发酵市场容量预测</w:t>
      </w:r>
      <w:r>
        <w:rPr>
          <w:rFonts w:hint="eastAsia"/>
        </w:rPr>
        <w:br/>
      </w:r>
      <w:r>
        <w:rPr>
          <w:rFonts w:hint="eastAsia"/>
        </w:rPr>
        <w:t>　　图表 2024-2030年我国微生物发酵市场规模预测</w:t>
      </w:r>
      <w:r>
        <w:rPr>
          <w:rFonts w:hint="eastAsia"/>
        </w:rPr>
        <w:br/>
      </w:r>
      <w:r>
        <w:rPr>
          <w:rFonts w:hint="eastAsia"/>
        </w:rPr>
        <w:t>　　图表 2019-2024年国内生产总值及增长速度</w:t>
      </w:r>
      <w:r>
        <w:rPr>
          <w:rFonts w:hint="eastAsia"/>
        </w:rPr>
        <w:br/>
      </w:r>
      <w:r>
        <w:rPr>
          <w:rFonts w:hint="eastAsia"/>
        </w:rPr>
        <w:t>　　图表 2024年居民消费价格比2024年涨跌幅度</w:t>
      </w:r>
      <w:r>
        <w:rPr>
          <w:rFonts w:hint="eastAsia"/>
        </w:rPr>
        <w:br/>
      </w:r>
      <w:r>
        <w:rPr>
          <w:rFonts w:hint="eastAsia"/>
        </w:rPr>
        <w:t>　　图表 2019-2024年社会消费品零售总额</w:t>
      </w:r>
      <w:r>
        <w:rPr>
          <w:rFonts w:hint="eastAsia"/>
        </w:rPr>
        <w:br/>
      </w:r>
      <w:r>
        <w:rPr>
          <w:rFonts w:hint="eastAsia"/>
        </w:rPr>
        <w:t>　　图表 2024年按收入来源分全国居民人均可支配收入占比</w:t>
      </w:r>
      <w:r>
        <w:rPr>
          <w:rFonts w:hint="eastAsia"/>
        </w:rPr>
        <w:br/>
      </w:r>
      <w:r>
        <w:rPr>
          <w:rFonts w:hint="eastAsia"/>
        </w:rPr>
        <w:t>　　图表 2024年各种运输方式完成货物运输量及其增长速度</w:t>
      </w:r>
      <w:r>
        <w:rPr>
          <w:rFonts w:hint="eastAsia"/>
        </w:rPr>
        <w:br/>
      </w:r>
      <w:r>
        <w:rPr>
          <w:rFonts w:hint="eastAsia"/>
        </w:rPr>
        <w:t>　　图表 2024年各种运输方式完成旅客运输量及其增长速度</w:t>
      </w:r>
      <w:r>
        <w:rPr>
          <w:rFonts w:hint="eastAsia"/>
        </w:rPr>
        <w:br/>
      </w:r>
      <w:r>
        <w:rPr>
          <w:rFonts w:hint="eastAsia"/>
        </w:rPr>
        <w:t>　　图表 2023-2024年全国规模以上工业增加值及增长速度</w:t>
      </w:r>
      <w:r>
        <w:rPr>
          <w:rFonts w:hint="eastAsia"/>
        </w:rPr>
        <w:br/>
      </w:r>
      <w:r>
        <w:rPr>
          <w:rFonts w:hint="eastAsia"/>
        </w:rPr>
        <w:t>　　图表 2024年主要工业产品产量及其增长速度</w:t>
      </w:r>
      <w:r>
        <w:rPr>
          <w:rFonts w:hint="eastAsia"/>
        </w:rPr>
        <w:br/>
      </w:r>
      <w:r>
        <w:rPr>
          <w:rFonts w:hint="eastAsia"/>
        </w:rPr>
        <w:t>　　图表 2019-2024年社会固定资产投资</w:t>
      </w:r>
      <w:r>
        <w:rPr>
          <w:rFonts w:hint="eastAsia"/>
        </w:rPr>
        <w:br/>
      </w:r>
      <w:r>
        <w:rPr>
          <w:rFonts w:hint="eastAsia"/>
        </w:rPr>
        <w:t>　　图表 2024年分行业固定资产投资（不含农户）及其增长速度</w:t>
      </w:r>
      <w:r>
        <w:rPr>
          <w:rFonts w:hint="eastAsia"/>
        </w:rPr>
        <w:br/>
      </w:r>
      <w:r>
        <w:rPr>
          <w:rFonts w:hint="eastAsia"/>
        </w:rPr>
        <w:t>　　图表 2024年固定资产投资新增主要生产与运营能力</w:t>
      </w:r>
      <w:r>
        <w:rPr>
          <w:rFonts w:hint="eastAsia"/>
        </w:rPr>
        <w:br/>
      </w:r>
      <w:r>
        <w:rPr>
          <w:rFonts w:hint="eastAsia"/>
        </w:rPr>
        <w:t>　　图表 2019-2024年全国一般公共财政收入</w:t>
      </w:r>
      <w:r>
        <w:rPr>
          <w:rFonts w:hint="eastAsia"/>
        </w:rPr>
        <w:br/>
      </w:r>
      <w:r>
        <w:rPr>
          <w:rFonts w:hint="eastAsia"/>
        </w:rPr>
        <w:t>　　图表 2019-2024年国家外汇储备</w:t>
      </w:r>
      <w:r>
        <w:rPr>
          <w:rFonts w:hint="eastAsia"/>
        </w:rPr>
        <w:br/>
      </w:r>
      <w:r>
        <w:rPr>
          <w:rFonts w:hint="eastAsia"/>
        </w:rPr>
        <w:t>　　图表 2023年末全部金融机构本外币存贷款余额及其增长速度</w:t>
      </w:r>
      <w:r>
        <w:rPr>
          <w:rFonts w:hint="eastAsia"/>
        </w:rPr>
        <w:br/>
      </w:r>
      <w:r>
        <w:rPr>
          <w:rFonts w:hint="eastAsia"/>
        </w:rPr>
        <w:t>　　图表 2019-2024年中国对外贸易进出口总额</w:t>
      </w:r>
      <w:r>
        <w:rPr>
          <w:rFonts w:hint="eastAsia"/>
        </w:rPr>
        <w:br/>
      </w:r>
      <w:r>
        <w:rPr>
          <w:rFonts w:hint="eastAsia"/>
        </w:rPr>
        <w:t>　　图表 2024年货物进出口总额及其增长速度</w:t>
      </w:r>
      <w:r>
        <w:rPr>
          <w:rFonts w:hint="eastAsia"/>
        </w:rPr>
        <w:br/>
      </w:r>
      <w:r>
        <w:rPr>
          <w:rFonts w:hint="eastAsia"/>
        </w:rPr>
        <w:t>　　图表 2024年主要商品出口数量、金额及其增长速度</w:t>
      </w:r>
      <w:r>
        <w:rPr>
          <w:rFonts w:hint="eastAsia"/>
        </w:rPr>
        <w:br/>
      </w:r>
      <w:r>
        <w:rPr>
          <w:rFonts w:hint="eastAsia"/>
        </w:rPr>
        <w:t>　　图表 2019-2024年国内生产总值及其增长速度</w:t>
      </w:r>
      <w:r>
        <w:rPr>
          <w:rFonts w:hint="eastAsia"/>
        </w:rPr>
        <w:br/>
      </w:r>
      <w:r>
        <w:rPr>
          <w:rFonts w:hint="eastAsia"/>
        </w:rPr>
        <w:t>　　图表 2019-2024年国内生产总值增长速度</w:t>
      </w:r>
      <w:r>
        <w:rPr>
          <w:rFonts w:hint="eastAsia"/>
        </w:rPr>
        <w:br/>
      </w:r>
      <w:r>
        <w:rPr>
          <w:rFonts w:hint="eastAsia"/>
        </w:rPr>
        <w:t>　　图表 2019-2024年全社会固定资产投资及其增长速度</w:t>
      </w:r>
      <w:r>
        <w:rPr>
          <w:rFonts w:hint="eastAsia"/>
        </w:rPr>
        <w:br/>
      </w:r>
      <w:r>
        <w:rPr>
          <w:rFonts w:hint="eastAsia"/>
        </w:rPr>
        <w:t>　　图表 2024年我国居民消费价格上涨情况</w:t>
      </w:r>
      <w:r>
        <w:rPr>
          <w:rFonts w:hint="eastAsia"/>
        </w:rPr>
        <w:br/>
      </w:r>
      <w:r>
        <w:rPr>
          <w:rFonts w:hint="eastAsia"/>
        </w:rPr>
        <w:t>　　图表 2019-2024年我国城镇居民人均可支配收入实际增长速度</w:t>
      </w:r>
      <w:r>
        <w:rPr>
          <w:rFonts w:hint="eastAsia"/>
        </w:rPr>
        <w:br/>
      </w:r>
      <w:r>
        <w:rPr>
          <w:rFonts w:hint="eastAsia"/>
        </w:rPr>
        <w:t>　　图表 2019-2024年我国农村居民人均收入实际增长速度</w:t>
      </w:r>
      <w:r>
        <w:rPr>
          <w:rFonts w:hint="eastAsia"/>
        </w:rPr>
        <w:br/>
      </w:r>
      <w:r>
        <w:rPr>
          <w:rFonts w:hint="eastAsia"/>
        </w:rPr>
        <w:t>　　图表 2019-2024年社会消费品零售总额及其增长速度</w:t>
      </w:r>
      <w:r>
        <w:rPr>
          <w:rFonts w:hint="eastAsia"/>
        </w:rPr>
        <w:br/>
      </w:r>
      <w:r>
        <w:rPr>
          <w:rFonts w:hint="eastAsia"/>
        </w:rPr>
        <w:t>　　图表 2019-2024年我国货物进出口总额</w:t>
      </w:r>
      <w:r>
        <w:rPr>
          <w:rFonts w:hint="eastAsia"/>
        </w:rPr>
        <w:br/>
      </w:r>
      <w:r>
        <w:rPr>
          <w:rFonts w:hint="eastAsia"/>
        </w:rPr>
        <w:t>　　图表 2019-2024年公共财政收入及其增长速度</w:t>
      </w:r>
      <w:r>
        <w:rPr>
          <w:rFonts w:hint="eastAsia"/>
        </w:rPr>
        <w:br/>
      </w:r>
      <w:r>
        <w:rPr>
          <w:rFonts w:hint="eastAsia"/>
        </w:rPr>
        <w:t>　　图表 2023年末全部金融机构本外币存贷款余额及其增长速度</w:t>
      </w:r>
      <w:r>
        <w:rPr>
          <w:rFonts w:hint="eastAsia"/>
        </w:rPr>
        <w:br/>
      </w:r>
      <w:r>
        <w:rPr>
          <w:rFonts w:hint="eastAsia"/>
        </w:rPr>
        <w:t>　　图表 我国人民币存贷款基准利率历次调整一览表</w:t>
      </w:r>
      <w:r>
        <w:rPr>
          <w:rFonts w:hint="eastAsia"/>
        </w:rPr>
        <w:br/>
      </w:r>
      <w:r>
        <w:rPr>
          <w:rFonts w:hint="eastAsia"/>
        </w:rPr>
        <w:t>　　图表 2019-2024年我国存款准备金率调整一览表</w:t>
      </w:r>
      <w:r>
        <w:rPr>
          <w:rFonts w:hint="eastAsia"/>
        </w:rPr>
        <w:br/>
      </w:r>
      <w:r>
        <w:rPr>
          <w:rFonts w:hint="eastAsia"/>
        </w:rPr>
        <w:t>　　图表 2023年末人口数及其构成</w:t>
      </w:r>
      <w:r>
        <w:rPr>
          <w:rFonts w:hint="eastAsia"/>
        </w:rPr>
        <w:br/>
      </w:r>
      <w:r>
        <w:rPr>
          <w:rFonts w:hint="eastAsia"/>
        </w:rPr>
        <w:t>　　图表 2019-2024年城镇新增就业人数</w:t>
      </w:r>
      <w:r>
        <w:rPr>
          <w:rFonts w:hint="eastAsia"/>
        </w:rPr>
        <w:br/>
      </w:r>
      <w:r>
        <w:rPr>
          <w:rFonts w:hint="eastAsia"/>
        </w:rPr>
        <w:t>　　图表 2019-2024年国内生产总值与全部就业人员比率</w:t>
      </w:r>
      <w:r>
        <w:rPr>
          <w:rFonts w:hint="eastAsia"/>
        </w:rPr>
        <w:br/>
      </w:r>
      <w:r>
        <w:rPr>
          <w:rFonts w:hint="eastAsia"/>
        </w:rPr>
        <w:t>　　图表 2019-2024年高等教育、中等职业教育及普通高中招生人数</w:t>
      </w:r>
      <w:r>
        <w:rPr>
          <w:rFonts w:hint="eastAsia"/>
        </w:rPr>
        <w:br/>
      </w:r>
      <w:r>
        <w:rPr>
          <w:rFonts w:hint="eastAsia"/>
        </w:rPr>
        <w:t>　　图表 2019-2024年研究与试验发展（R&amp;D）经费支出</w:t>
      </w:r>
      <w:r>
        <w:rPr>
          <w:rFonts w:hint="eastAsia"/>
        </w:rPr>
        <w:br/>
      </w:r>
      <w:r>
        <w:rPr>
          <w:rFonts w:hint="eastAsia"/>
        </w:rPr>
        <w:t>　　图表 2019-2024年中国城镇化水平</w:t>
      </w:r>
      <w:r>
        <w:rPr>
          <w:rFonts w:hint="eastAsia"/>
        </w:rPr>
        <w:br/>
      </w:r>
      <w:r>
        <w:rPr>
          <w:rFonts w:hint="eastAsia"/>
        </w:rPr>
        <w:t>　　图表 确定公司战略目标的步骤</w:t>
      </w:r>
      <w:r>
        <w:rPr>
          <w:rFonts w:hint="eastAsia"/>
        </w:rPr>
        <w:br/>
      </w:r>
      <w:r>
        <w:rPr>
          <w:rFonts w:hint="eastAsia"/>
        </w:rPr>
        <w:t>　　图表 制定公司战略规划的步骤</w:t>
      </w:r>
      <w:r>
        <w:rPr>
          <w:rFonts w:hint="eastAsia"/>
        </w:rPr>
        <w:br/>
      </w:r>
      <w:r>
        <w:rPr>
          <w:rFonts w:hint="eastAsia"/>
        </w:rPr>
        <w:t>　　图表 2019-2024年企业产销统计数据</w:t>
      </w:r>
      <w:r>
        <w:rPr>
          <w:rFonts w:hint="eastAsia"/>
        </w:rPr>
        <w:br/>
      </w:r>
      <w:r>
        <w:rPr>
          <w:rFonts w:hint="eastAsia"/>
        </w:rPr>
        <w:t>　　图表 2019-2024年梅花生物科技偿债能力情况</w:t>
      </w:r>
      <w:r>
        <w:rPr>
          <w:rFonts w:hint="eastAsia"/>
        </w:rPr>
        <w:br/>
      </w:r>
      <w:r>
        <w:rPr>
          <w:rFonts w:hint="eastAsia"/>
        </w:rPr>
        <w:t>　　图表 2019-2024年梅花生物科技资本结构情况</w:t>
      </w:r>
      <w:r>
        <w:rPr>
          <w:rFonts w:hint="eastAsia"/>
        </w:rPr>
        <w:br/>
      </w:r>
      <w:r>
        <w:rPr>
          <w:rFonts w:hint="eastAsia"/>
        </w:rPr>
        <w:t>　　图表 2019-2024年梅花生物科技经营效率分析</w:t>
      </w:r>
      <w:r>
        <w:rPr>
          <w:rFonts w:hint="eastAsia"/>
        </w:rPr>
        <w:br/>
      </w:r>
      <w:r>
        <w:rPr>
          <w:rFonts w:hint="eastAsia"/>
        </w:rPr>
        <w:t>　　图表 2019-2024年梅花生物科技获利能力分析</w:t>
      </w:r>
      <w:r>
        <w:rPr>
          <w:rFonts w:hint="eastAsia"/>
        </w:rPr>
        <w:br/>
      </w:r>
      <w:r>
        <w:rPr>
          <w:rFonts w:hint="eastAsia"/>
        </w:rPr>
        <w:t>　　图表 2019-2024年梅花生物科技发展能力分析</w:t>
      </w:r>
      <w:r>
        <w:rPr>
          <w:rFonts w:hint="eastAsia"/>
        </w:rPr>
        <w:br/>
      </w:r>
      <w:r>
        <w:rPr>
          <w:rFonts w:hint="eastAsia"/>
        </w:rPr>
        <w:t>　　图表 2019-2024年梅花生物科技现金流量分析</w:t>
      </w:r>
      <w:r>
        <w:rPr>
          <w:rFonts w:hint="eastAsia"/>
        </w:rPr>
        <w:br/>
      </w:r>
      <w:r w:rsidR="00D57DFE">
        <w:t>略</w:t>
      </w:r>
      <w:r w:rsidR="00D57DFE">
        <w:t>……</w:t>
      </w:r>
    </w:p>
    <w:p w:rsidR="00606C06" w:rsidRDefault="00606C06">
      <w:pPr/>
    </w:p>
    <w:p w:rsidR="00606C06" w:rsidRDefault="00D57DFE" w:rsidP="002C677F">
      <w:pPr>
        <w:spacing w:before="31" w:after="31"/>
        <w:rPr>
          <w:color w:val="C00000"/>
        </w:rPr>
      </w:pPr>
      <w:r>
        <w:rPr>
          <w:color w:val="C00000"/>
        </w:rPr>
        <w:t>了解《</w:t>
      </w:r>
      <w:hyperlink r:id="R65114be39860405a" w:history="1">
        <w:r>
          <w:rPr>
            <w:rStyle w:val="Hyperlink"/>
          </w:rPr>
          <w:t>2024-2030年中国微生物发酵行业现状研究分析及市场前景预测报告</w:t>
        </w:r>
      </w:hyperlink>
      <w:r>
        <w:rPr>
          <w:color w:val="C00000"/>
        </w:rPr>
        <w:t>》，报告编号：</w:t>
      </w:r>
      <w:r>
        <w:rPr>
          <w:rFonts w:hint="eastAsia"/>
          <w:color w:val="C00000"/>
        </w:rPr>
        <w:t>1557585</w:t>
      </w:r>
      <w:r>
        <w:rPr>
          <w:color w:val="C00000"/>
        </w:rPr>
        <w:t>，</w:t>
      </w:r>
    </w:p>
    <w:p w:rsidR="00606C06" w:rsidRDefault="00D57DFE">
      <w:pPr>
        <w:spacing w:before="31" w:after="31"/>
        <w:rPr>
          <w:color w:val="C00000"/>
        </w:rPr>
      </w:pPr>
      <w:r>
        <w:rPr>
          <w:color w:val="C00000"/>
        </w:rPr>
        <w:t>请致电：</w:t>
      </w:r>
      <w:r w:rsidRPr="00D37D79">
        <w:rPr>
          <w:rFonts w:ascii="Georgia" w:hAnsi="Georgia"/>
          <w:color w:val="C00000"/>
        </w:rPr>
        <w:t>400-612-8668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010-66181099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66182099</w:t>
      </w:r>
      <w:r w:rsidRPr="00D37D79">
        <w:rPr>
          <w:rFonts w:ascii="Georgia"/>
          <w:color w:val="C00000"/>
        </w:rPr>
        <w:t>、</w:t>
      </w:r>
      <w:r w:rsidRPr="00D37D79">
        <w:rPr>
          <w:rFonts w:ascii="Georgia" w:hAnsi="Georgia"/>
          <w:color w:val="C00000"/>
        </w:rPr>
        <w:t>66183099</w:t>
      </w:r>
      <w:r>
        <w:rPr>
          <w:color w:val="C00000"/>
        </w:rPr>
        <w:t>，</w:t>
      </w:r>
    </w:p>
    <w:p w:rsidR="00606C06" w:rsidRDefault="00D57DFE">
      <w:pPr>
        <w:spacing w:before="31" w:after="31"/>
      </w:pPr>
      <w:r>
        <w:rPr>
          <w:color w:val="C00000"/>
        </w:rPr>
        <w:t>Email</w:t>
      </w:r>
      <w:r>
        <w:rPr>
          <w:color w:val="C00000"/>
        </w:rPr>
        <w:t>邮箱：</w:t>
      </w:r>
      <w:hyperlink r:id="rId17" w:history="1">
        <w:r>
          <w:rPr>
            <w:color w:val="C00000"/>
          </w:rPr>
          <w:t>Kf@20087.com</w:t>
        </w:r>
      </w:hyperlink>
    </w:p>
    <w:p w:rsidR="00EC6F8C" w:rsidRDefault="00EC6F8C">
      <w:pPr>
        <w:spacing w:before="31" w:after="31"/>
        <w:rPr>
          <w:color w:val="C00000"/>
        </w:rPr>
      </w:pPr>
    </w:p>
    <w:p w:rsidR="00606C06" w:rsidRDefault="00D57DFE">
      <w:pPr>
        <w:pStyle w:val="a7"/>
        <w:spacing w:before="156" w:after="93"/>
        <w:ind w:firstLine="420"/>
      </w:pPr>
      <w:r>
        <w:rPr>
          <w:rFonts w:hint="eastAsia"/>
        </w:rPr>
        <w:t>详细介绍：</w:t>
      </w:r>
      <w:hyperlink r:id="R65114be39860405a" w:history="1">
        <w:r>
          <w:rPr>
            <w:rStyle w:val="Hyperlink"/>
          </w:rPr>
          <w:t>https://www.20087.com/M_QiTa/85/WeiShengWuFaJiaoShiChangQianJingFenXiYuCe.html</w:t>
        </w:r>
      </w:hyperlink>
    </w:p>
    <w:p w:rsidR="00606C06" w:rsidRDefault="00D57DFE" w:rsidP="0097340D">
      <w:pPr>
        <w:pStyle w:val="a8"/>
        <w:jc w:val="center"/>
      </w:pPr>
      <w:r>
        <w:rPr>
          <w:rFonts w:hint="eastAsia"/>
        </w:rPr>
        <w:t>了解更多，请访问上述链接，以下无内容！</w:t>
      </w:r>
    </w:p>
    <w:sectPr w:rsidR="00606C06" w:rsidSect="00606C0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E0B8D" w:rsidRDefault="00AE0B8D">
      <w:r>
        <w:separator/>
      </w:r>
    </w:p>
  </w:endnote>
  <w:endnote w:type="continuationSeparator" w:id="1">
    <w:p w:rsidR="00AE0B8D" w:rsidRDefault="00AE0B8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4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606C06">
    <w:pPr>
      <w:pStyle w:val="a4"/>
      <w:jc w:val="center"/>
    </w:pPr>
  </w:p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2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D57DFE">
    <w:pPr>
      <w:pStyle w:val="a4"/>
      <w:jc w:val="center"/>
    </w:pPr>
    <w:r>
      <w:rPr>
        <w:rFonts w:hint="eastAsia"/>
      </w:rPr>
      <w:t>第</w:t>
    </w:r>
    <w:fldSimple w:instr="PAGE">
      <w:r w:rsidR="00B70CB6">
        <w:rPr>
          <w:noProof/>
        </w:rPr>
        <w:t>1</w:t>
      </w:r>
    </w:fldSimple>
    <w:r>
      <w:rPr>
        <w:rFonts w:hint="eastAsia"/>
      </w:rPr>
      <w:t>页　共</w:t>
    </w:r>
    <w:fldSimple w:instr="NUMPAGES">
      <w:r w:rsidR="00B70CB6">
        <w:rPr>
          <w:noProof/>
        </w:rPr>
        <w:t>2</w:t>
      </w:r>
    </w:fldSimple>
    <w:r>
      <w:rPr>
        <w:rFonts w:hint="eastAsia"/>
      </w:rPr>
      <w:t>页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E0B8D" w:rsidRDefault="00AE0B8D">
      <w:r>
        <w:separator/>
      </w:r>
    </w:p>
  </w:footnote>
  <w:footnote w:type="continuationSeparator" w:id="1">
    <w:p w:rsidR="00AE0B8D" w:rsidRDefault="00AE0B8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06C06" w:rsidRDefault="00F966A1">
    <w:pPr>
      <w:pStyle w:val="a3"/>
    </w:pPr>
    <w:hyperlink r:id="Ra038b28229334a25" w:history="1">
      <w:r>
        <w:rPr>
          <w:rStyle w:val="Hyperlink"/>
        </w:rPr>
        <w:t>2024-2030年中国微生物发酵行业现状研究分析及市场前景预测报告</w:t>
      </w:r>
    </w:hyperlink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C6F8C" w:rsidRDefault="00EC6F8C">
    <w:pPr>
      <w:pStyle w:val="a3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0B35FC"/>
    <w:multiLevelType w:val="hybridMultilevel"/>
    <w:tmpl w:val="6E30864E"/>
    <w:lvl w:ilvl="0" w:tplc="B5DA0F88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  <w:sz w:val="24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1">
    <w:nsid w:val="0F5B43EC"/>
    <w:multiLevelType w:val="hybridMultilevel"/>
    <w:tmpl w:val="DA127A04"/>
    <w:lvl w:ilvl="0" w:tplc="63981F9C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2">
    <w:nsid w:val="404A21B8"/>
    <w:multiLevelType w:val="hybridMultilevel"/>
    <w:tmpl w:val="9CF60EF4"/>
    <w:lvl w:ilvl="0" w:tplc="22A8F04A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3">
    <w:nsid w:val="54B148B7"/>
    <w:multiLevelType w:val="hybridMultilevel"/>
    <w:tmpl w:val="B4743FDA"/>
    <w:lvl w:ilvl="0" w:tplc="D452E326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abstractNum w:abstractNumId="4">
    <w:nsid w:val="6B502F75"/>
    <w:multiLevelType w:val="hybridMultilevel"/>
    <w:tmpl w:val="B748D666"/>
    <w:lvl w:ilvl="0" w:tplc="9828C0BE">
      <w:start w:val="1"/>
      <w:numFmt w:val="bullet"/>
      <w:lvlText w:val="?"/>
      <w:lvlJc w:val="left"/>
      <w:pPr>
        <w:ind w:left="420" w:hanging="420"/>
      </w:pPr>
      <w:rPr>
        <w:rFonts w:ascii="Wingdings" w:hAnsi="Wingdings" w:hint="default"/>
      </w:rPr>
    </w:lvl>
    <w:lvl w:ilvl="1" w:tplc="C5C24992">
      <w:numFmt w:val="decimal"/>
      <w:lvlText w:val=""/>
      <w:lvlJc w:val="left"/>
    </w:lvl>
    <w:lvl w:ilvl="2" w:tplc="DC486168">
      <w:numFmt w:val="decimal"/>
      <w:lvlText w:val=""/>
      <w:lvlJc w:val="left"/>
    </w:lvl>
    <w:lvl w:ilvl="3" w:tplc="3D204880">
      <w:numFmt w:val="decimal"/>
      <w:lvlText w:val=""/>
      <w:lvlJc w:val="left"/>
    </w:lvl>
    <w:lvl w:ilvl="4" w:tplc="D66C9AEE">
      <w:numFmt w:val="decimal"/>
      <w:lvlText w:val=""/>
      <w:lvlJc w:val="left"/>
    </w:lvl>
    <w:lvl w:ilvl="5" w:tplc="45147664">
      <w:numFmt w:val="decimal"/>
      <w:lvlText w:val=""/>
      <w:lvlJc w:val="left"/>
    </w:lvl>
    <w:lvl w:ilvl="6" w:tplc="54F24AFC">
      <w:numFmt w:val="decimal"/>
      <w:lvlText w:val=""/>
      <w:lvlJc w:val="left"/>
    </w:lvl>
    <w:lvl w:ilvl="7" w:tplc="0DB403CE">
      <w:numFmt w:val="decimal"/>
      <w:lvlText w:val=""/>
      <w:lvlJc w:val="left"/>
    </w:lvl>
    <w:lvl w:ilvl="8" w:tplc="2F80A3F2">
      <w:numFmt w:val="decimal"/>
      <w:lvlText w:val=""/>
      <w:lvlJc w:val="left"/>
    </w:lvl>
  </w:abstractNum>
  <w:abstractNum w:abstractNumId="5">
    <w:nsid w:val="6B7B14A4"/>
    <w:multiLevelType w:val="hybridMultilevel"/>
    <w:tmpl w:val="FE824C4E"/>
    <w:lvl w:ilvl="0" w:tplc="0409000D">
      <w:start w:val="1"/>
      <w:numFmt w:val="bullet"/>
      <w:lvlText w:val="?"/>
      <w:lvlJc w:val="left"/>
      <w:pPr>
        <w:ind w:left="840" w:hanging="420"/>
      </w:pPr>
      <w:rPr>
        <w:rFonts w:ascii="Wingdings" w:hAnsi="Wingdings" w:hint="default"/>
        <w:b w:val="0"/>
        <w:i w:val="0"/>
        <w:sz w:val="21"/>
      </w:rPr>
    </w:lvl>
    <w:lvl w:ilvl="1" w:tplc="04090003" w:tentative="1">
      <w:start w:val="1"/>
      <w:numFmt w:val="bullet"/>
      <w:lvlText w:val="?"/>
      <w:lvlJc w:val="left"/>
      <w:pPr>
        <w:ind w:left="1260" w:hanging="42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?"/>
      <w:lvlJc w:val="left"/>
      <w:pPr>
        <w:ind w:left="16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?"/>
      <w:lvlJc w:val="left"/>
      <w:pPr>
        <w:ind w:left="2100" w:hanging="42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?"/>
      <w:lvlJc w:val="left"/>
      <w:pPr>
        <w:ind w:left="2520" w:hanging="42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?"/>
      <w:lvlJc w:val="left"/>
      <w:pPr>
        <w:ind w:left="29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?"/>
      <w:lvlJc w:val="left"/>
      <w:pPr>
        <w:ind w:left="3360" w:hanging="42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?"/>
      <w:lvlJc w:val="left"/>
      <w:pPr>
        <w:ind w:left="3780" w:hanging="42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?"/>
      <w:lvlJc w:val="left"/>
      <w:pPr>
        <w:ind w:left="4200" w:hanging="42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5"/>
  </w:num>
  <w:num w:numId="5">
    <w:abstractNumId w:val="2"/>
  </w:num>
  <w:num w:numId="6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1728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317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A47387"/>
    <w:rsid w:val="00012DD8"/>
    <w:rsid w:val="0001596E"/>
    <w:rsid w:val="000534EE"/>
    <w:rsid w:val="00062650"/>
    <w:rsid w:val="000674C0"/>
    <w:rsid w:val="000750F7"/>
    <w:rsid w:val="00095C5C"/>
    <w:rsid w:val="000D185E"/>
    <w:rsid w:val="000D5DF0"/>
    <w:rsid w:val="001C4527"/>
    <w:rsid w:val="001D0C62"/>
    <w:rsid w:val="001D312A"/>
    <w:rsid w:val="001D4249"/>
    <w:rsid w:val="001F1F58"/>
    <w:rsid w:val="001F5728"/>
    <w:rsid w:val="00211C87"/>
    <w:rsid w:val="0027031A"/>
    <w:rsid w:val="00273A99"/>
    <w:rsid w:val="00274771"/>
    <w:rsid w:val="0029087C"/>
    <w:rsid w:val="002A3DD6"/>
    <w:rsid w:val="002A7136"/>
    <w:rsid w:val="002C677F"/>
    <w:rsid w:val="002C72A6"/>
    <w:rsid w:val="002D24B8"/>
    <w:rsid w:val="00301833"/>
    <w:rsid w:val="0035608C"/>
    <w:rsid w:val="00371D5A"/>
    <w:rsid w:val="0037350A"/>
    <w:rsid w:val="003A3AD4"/>
    <w:rsid w:val="003A3CB6"/>
    <w:rsid w:val="003B545B"/>
    <w:rsid w:val="003C48CB"/>
    <w:rsid w:val="00422E75"/>
    <w:rsid w:val="00427221"/>
    <w:rsid w:val="004938DC"/>
    <w:rsid w:val="004A6F0F"/>
    <w:rsid w:val="004C7651"/>
    <w:rsid w:val="00560FC9"/>
    <w:rsid w:val="005721DB"/>
    <w:rsid w:val="005B42F4"/>
    <w:rsid w:val="005C6932"/>
    <w:rsid w:val="005E5A4C"/>
    <w:rsid w:val="005E5BFD"/>
    <w:rsid w:val="005E7C02"/>
    <w:rsid w:val="00600CE4"/>
    <w:rsid w:val="00606C06"/>
    <w:rsid w:val="006352E2"/>
    <w:rsid w:val="00687447"/>
    <w:rsid w:val="006A5E21"/>
    <w:rsid w:val="006E2C46"/>
    <w:rsid w:val="006F0790"/>
    <w:rsid w:val="00701270"/>
    <w:rsid w:val="007148EA"/>
    <w:rsid w:val="007572F9"/>
    <w:rsid w:val="00771CBA"/>
    <w:rsid w:val="007726D5"/>
    <w:rsid w:val="007871F6"/>
    <w:rsid w:val="007A262A"/>
    <w:rsid w:val="007F66EB"/>
    <w:rsid w:val="00850690"/>
    <w:rsid w:val="008717C7"/>
    <w:rsid w:val="00950EAE"/>
    <w:rsid w:val="00962DBF"/>
    <w:rsid w:val="0097340D"/>
    <w:rsid w:val="00987EF9"/>
    <w:rsid w:val="009C3796"/>
    <w:rsid w:val="009C4A0F"/>
    <w:rsid w:val="009D2278"/>
    <w:rsid w:val="009D50BF"/>
    <w:rsid w:val="00A031EF"/>
    <w:rsid w:val="00A159BD"/>
    <w:rsid w:val="00A160A7"/>
    <w:rsid w:val="00A368D3"/>
    <w:rsid w:val="00A433F8"/>
    <w:rsid w:val="00A47387"/>
    <w:rsid w:val="00A503D2"/>
    <w:rsid w:val="00A826BB"/>
    <w:rsid w:val="00A85EB3"/>
    <w:rsid w:val="00AD50CC"/>
    <w:rsid w:val="00AE0B8D"/>
    <w:rsid w:val="00B17BF0"/>
    <w:rsid w:val="00B268C8"/>
    <w:rsid w:val="00B272C4"/>
    <w:rsid w:val="00B336C3"/>
    <w:rsid w:val="00B6287C"/>
    <w:rsid w:val="00B70CB6"/>
    <w:rsid w:val="00BA384E"/>
    <w:rsid w:val="00BD0585"/>
    <w:rsid w:val="00C01012"/>
    <w:rsid w:val="00C02909"/>
    <w:rsid w:val="00C87A6B"/>
    <w:rsid w:val="00CE7B0D"/>
    <w:rsid w:val="00CF37F4"/>
    <w:rsid w:val="00D12E00"/>
    <w:rsid w:val="00D260E0"/>
    <w:rsid w:val="00D37D79"/>
    <w:rsid w:val="00D5037B"/>
    <w:rsid w:val="00D57DFE"/>
    <w:rsid w:val="00D807C6"/>
    <w:rsid w:val="00DA2CAB"/>
    <w:rsid w:val="00DC48A2"/>
    <w:rsid w:val="00E05B8C"/>
    <w:rsid w:val="00E2055B"/>
    <w:rsid w:val="00E259B9"/>
    <w:rsid w:val="00E57ECA"/>
    <w:rsid w:val="00E647FF"/>
    <w:rsid w:val="00E85C98"/>
    <w:rsid w:val="00EC154E"/>
    <w:rsid w:val="00EC6F8C"/>
    <w:rsid w:val="00ED389E"/>
    <w:rsid w:val="00F22418"/>
    <w:rsid w:val="00F24748"/>
    <w:rsid w:val="00F250BA"/>
    <w:rsid w:val="00F34C44"/>
    <w:rsid w:val="00F67D7A"/>
    <w:rsid w:val="00F71BC0"/>
    <w:rsid w:val="00F95D45"/>
    <w:rsid w:val="00F966A1"/>
    <w:rsid w:val="00FA6D7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1746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 Spacing" w:qFormat="1"/>
    <w:lsdException w:name="List Paragraph" w:qFormat="1"/>
    <w:lsdException w:name="Quote" w:qFormat="1"/>
    <w:lsdException w:name="Intense Quote" w:qFormat="1"/>
    <w:lsdException w:name="Subtle Emphasis" w:qFormat="1"/>
    <w:lsdException w:name="Intense Emphasis" w:qFormat="1"/>
    <w:lsdException w:name="Subtle Reference" w:qFormat="1"/>
    <w:lsdException w:name="Intense Reference" w:qFormat="1"/>
    <w:lsdException w:name="Book Title" w:qFormat="1"/>
    <w:lsdException w:name="TOC Heading" w:semiHidden="1" w:unhideWhenUsed="1" w:qFormat="1"/>
  </w:latentStyles>
  <w:style w:type="paragraph" w:default="1" w:styleId="a">
    <w:name w:val="Normal"/>
    <w:qFormat/>
    <w:rsid w:val="00A826BB"/>
    <w:pPr>
      <w:widowControl w:val="0"/>
      <w:spacing w:line="360" w:lineRule="auto"/>
      <w:jc w:val="both"/>
    </w:pPr>
    <w:rPr>
      <w:rFonts w:ascii="Times New Roman" w:hAnsi="Times New Roman"/>
      <w:kern w:val="2"/>
      <w:sz w:val="21"/>
      <w:szCs w:val="22"/>
    </w:rPr>
  </w:style>
  <w:style w:type="paragraph" w:styleId="1">
    <w:name w:val="heading 1"/>
    <w:basedOn w:val="a"/>
    <w:next w:val="a"/>
    <w:link w:val="1Char"/>
    <w:qFormat/>
    <w:rsid w:val="00427221"/>
    <w:pPr>
      <w:keepNext/>
      <w:keepLines/>
      <w:spacing w:line="600" w:lineRule="auto"/>
      <w:ind w:leftChars="200" w:left="200" w:rightChars="200" w:right="200"/>
      <w:jc w:val="center"/>
      <w:outlineLvl w:val="0"/>
    </w:pPr>
    <w:rPr>
      <w:rFonts w:ascii="Arial" w:eastAsia="黑体" w:hAnsi="Arial"/>
      <w:b/>
      <w:bCs/>
      <w:color w:val="CC0000"/>
      <w:kern w:val="44"/>
      <w:sz w:val="44"/>
      <w:szCs w:val="44"/>
    </w:rPr>
  </w:style>
  <w:style w:type="paragraph" w:styleId="2">
    <w:name w:val="heading 2"/>
    <w:basedOn w:val="a"/>
    <w:next w:val="a"/>
    <w:link w:val="2Char"/>
    <w:qFormat/>
    <w:rsid w:val="0029087C"/>
    <w:pPr>
      <w:keepNext/>
      <w:keepLines/>
      <w:spacing w:beforeLines="80" w:afterLines="40"/>
      <w:outlineLvl w:val="1"/>
    </w:pPr>
    <w:rPr>
      <w:rFonts w:ascii="Cambria" w:hAnsi="Cambria"/>
      <w:b/>
      <w:bCs/>
      <w:szCs w:val="32"/>
    </w:rPr>
  </w:style>
  <w:style w:type="paragraph" w:styleId="3">
    <w:name w:val="heading 3"/>
    <w:basedOn w:val="a"/>
    <w:next w:val="a"/>
    <w:link w:val="3Char"/>
    <w:qFormat/>
    <w:rsid w:val="0029087C"/>
    <w:pPr>
      <w:keepNext/>
      <w:keepLines/>
      <w:spacing w:beforeLines="60" w:afterLines="30"/>
      <w:ind w:firstLineChars="200" w:firstLine="200"/>
      <w:outlineLvl w:val="2"/>
    </w:pPr>
    <w:rPr>
      <w:b/>
      <w:bCs/>
      <w:szCs w:val="32"/>
    </w:rPr>
  </w:style>
  <w:style w:type="paragraph" w:styleId="4">
    <w:name w:val="heading 4"/>
    <w:basedOn w:val="a"/>
    <w:next w:val="a"/>
    <w:link w:val="4Char"/>
    <w:qFormat/>
    <w:rsid w:val="00BD0585"/>
    <w:pPr>
      <w:keepNext/>
      <w:keepLines/>
      <w:spacing w:before="280" w:after="290" w:line="376" w:lineRule="auto"/>
      <w:outlineLvl w:val="3"/>
    </w:pPr>
    <w:rPr>
      <w:rFonts w:ascii="Cambria" w:hAnsi="Cambria"/>
      <w:b/>
      <w:bCs/>
      <w:sz w:val="28"/>
      <w:szCs w:val="28"/>
    </w:rPr>
  </w:style>
  <w:style w:type="paragraph" w:styleId="5">
    <w:name w:val="heading 5"/>
    <w:basedOn w:val="a"/>
    <w:next w:val="a"/>
    <w:link w:val="5Char"/>
    <w:qFormat/>
    <w:rsid w:val="00BD0585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rsid w:val="00A4738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rsid w:val="00A47387"/>
    <w:rPr>
      <w:sz w:val="18"/>
      <w:szCs w:val="18"/>
    </w:rPr>
  </w:style>
  <w:style w:type="paragraph" w:styleId="a4">
    <w:name w:val="footer"/>
    <w:basedOn w:val="a"/>
    <w:link w:val="Char0"/>
    <w:rsid w:val="00A4738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rsid w:val="00A47387"/>
    <w:rPr>
      <w:sz w:val="18"/>
      <w:szCs w:val="18"/>
    </w:rPr>
  </w:style>
  <w:style w:type="character" w:customStyle="1" w:styleId="1Char">
    <w:name w:val="标题 1 Char"/>
    <w:basedOn w:val="a0"/>
    <w:link w:val="1"/>
    <w:rsid w:val="00427221"/>
    <w:rPr>
      <w:rFonts w:ascii="Arial" w:eastAsia="黑体" w:hAnsi="Arial"/>
      <w:b/>
      <w:bCs/>
      <w:color w:val="CC0000"/>
      <w:kern w:val="44"/>
      <w:sz w:val="44"/>
      <w:szCs w:val="44"/>
    </w:rPr>
  </w:style>
  <w:style w:type="character" w:customStyle="1" w:styleId="2Char">
    <w:name w:val="标题 2 Char"/>
    <w:basedOn w:val="a0"/>
    <w:link w:val="2"/>
    <w:rsid w:val="0029087C"/>
    <w:rPr>
      <w:rFonts w:ascii="Cambria" w:hAnsi="Cambria"/>
      <w:b/>
      <w:bCs/>
      <w:kern w:val="2"/>
      <w:sz w:val="21"/>
      <w:szCs w:val="32"/>
    </w:rPr>
  </w:style>
  <w:style w:type="character" w:customStyle="1" w:styleId="3Char">
    <w:name w:val="标题 3 Char"/>
    <w:basedOn w:val="a0"/>
    <w:link w:val="3"/>
    <w:rsid w:val="0029087C"/>
    <w:rPr>
      <w:rFonts w:ascii="Times New Roman" w:hAnsi="Times New Roman"/>
      <w:b/>
      <w:bCs/>
      <w:kern w:val="2"/>
      <w:sz w:val="21"/>
      <w:szCs w:val="32"/>
    </w:rPr>
  </w:style>
  <w:style w:type="character" w:customStyle="1" w:styleId="4Char">
    <w:name w:val="标题 4 Char"/>
    <w:basedOn w:val="a0"/>
    <w:link w:val="4"/>
    <w:rsid w:val="00BD0585"/>
    <w:rPr>
      <w:rFonts w:ascii="Cambria" w:eastAsia="宋体" w:hAnsi="Cambria" w:cs="Times New Roman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rsid w:val="00BD0585"/>
    <w:rPr>
      <w:rFonts w:ascii="Times New Roman" w:hAnsi="Times New Roman"/>
      <w:b/>
      <w:bCs/>
      <w:kern w:val="2"/>
      <w:sz w:val="28"/>
      <w:szCs w:val="28"/>
    </w:rPr>
  </w:style>
  <w:style w:type="character" w:styleId="a5">
    <w:name w:val="Emphasis"/>
    <w:basedOn w:val="a0"/>
    <w:qFormat/>
    <w:rsid w:val="00987EF9"/>
    <w:rPr>
      <w:rFonts w:ascii="Arial" w:eastAsia="黑体" w:hAnsi="Arial"/>
      <w:b/>
      <w:iCs/>
      <w:color w:val="FFFFFF"/>
      <w:sz w:val="28"/>
      <w:u w:val="none"/>
    </w:rPr>
  </w:style>
  <w:style w:type="character" w:styleId="a6">
    <w:name w:val="Hyperlink"/>
    <w:basedOn w:val="a0"/>
    <w:rsid w:val="00D12E00"/>
    <w:rPr>
      <w:color w:val="0000FF"/>
      <w:u w:val="single"/>
    </w:rPr>
  </w:style>
  <w:style w:type="paragraph" w:customStyle="1" w:styleId="a7">
    <w:name w:val="内容"/>
    <w:rsid w:val="00A826BB"/>
    <w:pPr>
      <w:widowControl w:val="0"/>
      <w:wordWrap w:val="0"/>
      <w:spacing w:beforeLines="50" w:afterLines="30" w:line="300" w:lineRule="auto"/>
      <w:ind w:firstLineChars="200" w:firstLine="200"/>
      <w:jc w:val="both"/>
    </w:pPr>
    <w:rPr>
      <w:rFonts w:ascii="Times New Roman" w:hAnsi="Times New Roman"/>
      <w:kern w:val="2"/>
      <w:sz w:val="21"/>
      <w:szCs w:val="22"/>
    </w:rPr>
  </w:style>
  <w:style w:type="paragraph" w:styleId="a8">
    <w:name w:val="Title"/>
    <w:basedOn w:val="a"/>
    <w:next w:val="a"/>
    <w:link w:val="Char1"/>
    <w:qFormat/>
    <w:rsid w:val="00F250BA"/>
    <w:pPr>
      <w:spacing w:line="720" w:lineRule="auto"/>
      <w:outlineLvl w:val="0"/>
    </w:pPr>
    <w:rPr>
      <w:rFonts w:ascii="Cambria" w:eastAsia="微软雅黑" w:hAnsi="Cambria"/>
      <w:bCs/>
      <w:sz w:val="32"/>
      <w:szCs w:val="32"/>
    </w:rPr>
  </w:style>
  <w:style w:type="character" w:customStyle="1" w:styleId="Char1">
    <w:name w:val="标题 Char"/>
    <w:basedOn w:val="a0"/>
    <w:link w:val="a8"/>
    <w:rsid w:val="00F250BA"/>
    <w:rPr>
      <w:rFonts w:ascii="Cambria" w:eastAsia="微软雅黑" w:hAnsi="Cambria" w:cs="Times New Roman"/>
      <w:b/>
      <w:bCs/>
      <w:kern w:val="2"/>
      <w:sz w:val="32"/>
      <w:szCs w:val="32"/>
    </w:rPr>
  </w:style>
  <w:style w:type="table" w:styleId="a9">
    <w:name w:val="Table Grid"/>
    <w:basedOn w:val="a1"/>
    <w:rsid w:val="00273A9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yperlink" Target="https://www.20087.com/" TargetMode="External" Id="rId8" /><Relationship Type="http://schemas.openxmlformats.org/officeDocument/2006/relationships/header" Target="header3.xml" Id="rId13" /><Relationship Type="http://schemas.openxmlformats.org/officeDocument/2006/relationships/fontTable" Target="fontTable.xml" Id="rId18" /><Relationship Type="http://schemas.openxmlformats.org/officeDocument/2006/relationships/settings" Target="settings.xml" Id="rId3" /><Relationship Type="http://schemas.openxmlformats.org/officeDocument/2006/relationships/image" Target="media/image1.png" Id="rId7" /><Relationship Type="http://schemas.openxmlformats.org/officeDocument/2006/relationships/footer" Target="footer2.xml" Id="rId12" /><Relationship Type="http://schemas.openxmlformats.org/officeDocument/2006/relationships/hyperlink" Target="mailto:Kf@20087.com" TargetMode="External" Id="rId17" /><Relationship Type="http://schemas.openxmlformats.org/officeDocument/2006/relationships/styles" Target="styles.xml" Id="rId2" /><Relationship Type="http://schemas.openxmlformats.org/officeDocument/2006/relationships/hyperlink" Target="https://www.20087.com/2/95/ZhiNengXiWanJiShiChangQianJingYuCe.html" TargetMode="External" Id="rId16" /><Relationship Type="http://schemas.openxmlformats.org/officeDocument/2006/relationships/numbering" Target="numbering.xml" Id="rId1" /><Relationship Type="http://schemas.openxmlformats.org/officeDocument/2006/relationships/endnotes" Target="endnotes.xml" Id="rId6" /><Relationship Type="http://schemas.openxmlformats.org/officeDocument/2006/relationships/footer" Target="footer1.xml" Id="rId11" /><Relationship Type="http://schemas.openxmlformats.org/officeDocument/2006/relationships/footnotes" Target="footnotes.xml" Id="rId5" /><Relationship Type="http://schemas.openxmlformats.org/officeDocument/2006/relationships/hyperlink" Target="https://www.20087.com/" TargetMode="External" Id="rId15" /><Relationship Type="http://schemas.openxmlformats.org/officeDocument/2006/relationships/header" Target="header2.xml" Id="rId10" /><Relationship Type="http://schemas.openxmlformats.org/officeDocument/2006/relationships/theme" Target="theme/theme1.xml" Id="rId19" /><Relationship Type="http://schemas.openxmlformats.org/officeDocument/2006/relationships/webSettings" Target="webSettings.xml" Id="rId4" /><Relationship Type="http://schemas.openxmlformats.org/officeDocument/2006/relationships/header" Target="header1.xml" Id="rId9" /><Relationship Type="http://schemas.openxmlformats.org/officeDocument/2006/relationships/footer" Target="footer3.xml" Id="rId14" /><Relationship Type="http://schemas.openxmlformats.org/officeDocument/2006/relationships/hyperlink" Target="https://www.20087.com/M_QiTa/85/WeiShengWuFaJiaoShiChangQianJingFenXiYuCe.html" TargetMode="External" Id="R65114be39860405a" /></Relationships>
</file>

<file path=word/_rels/header2.xml.rels>&#65279;<?xml version="1.0" encoding="utf-8"?><Relationships xmlns="http://schemas.openxmlformats.org/package/2006/relationships"><Relationship Type="http://schemas.openxmlformats.org/officeDocument/2006/relationships/hyperlink" Target="https://www.20087.com/M_QiTa/85/WeiShengWuFaJiaoShiChangQianJingFenXiYuCe.html" TargetMode="External" Id="Ra038b28229334a25" 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2</Pages>
  <Words>89</Words>
  <Characters>508</Characters>
  <Application>Microsoft Office Word</Application>
  <DocSecurity>0</DocSecurity>
  <Lines>4</Lines>
  <Paragraphs>1</Paragraphs>
  <ScaleCrop>false</ScaleCrop>
  <Company>zhongzhilin</Company>
  <LinksUpToDate>false</LinksUpToDate>
  <CharactersWithSpaces>596</CharactersWithSpaces>
  <SharedDoc>false</SharedDoc>
  <HLinks>
    <vt:vector size="48" baseType="variant">
      <vt:variant>
        <vt:i4>6488110</vt:i4>
      </vt:variant>
      <vt:variant>
        <vt:i4>21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786525</vt:i4>
      </vt:variant>
      <vt:variant>
        <vt:i4>18</vt:i4>
      </vt:variant>
      <vt:variant>
        <vt:i4>0</vt:i4>
      </vt:variant>
      <vt:variant>
        <vt:i4>5</vt:i4>
      </vt:variant>
      <vt:variant>
        <vt:lpwstr>https://www.20087.com/3/38/ZhiNengXiWanJiDeQianJing.html</vt:lpwstr>
      </vt:variant>
      <vt:variant>
        <vt:lpwstr/>
      </vt:variant>
      <vt:variant>
        <vt:i4>122</vt:i4>
      </vt:variant>
      <vt:variant>
        <vt:i4>15</vt:i4>
      </vt:variant>
      <vt:variant>
        <vt:i4>0</vt:i4>
      </vt:variant>
      <vt:variant>
        <vt:i4>5</vt:i4>
      </vt:variant>
      <vt:variant>
        <vt:lpwstr>mailto:Kf@20087.com</vt:lpwstr>
      </vt:variant>
      <vt:variant>
        <vt:lpwstr/>
      </vt:variant>
      <vt:variant>
        <vt:i4>6488110</vt:i4>
      </vt:variant>
      <vt:variant>
        <vt:i4>12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9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6488110</vt:i4>
      </vt:variant>
      <vt:variant>
        <vt:i4>6</vt:i4>
      </vt:variant>
      <vt:variant>
        <vt:i4>0</vt:i4>
      </vt:variant>
      <vt:variant>
        <vt:i4>5</vt:i4>
      </vt:variant>
      <vt:variant>
        <vt:lpwstr>https://www.20087.com/2/95/ZhiNengXiWanJiShiChangQianJingYuCe.html</vt:lpwstr>
      </vt:variant>
      <vt:variant>
        <vt:lpwstr/>
      </vt:variant>
      <vt:variant>
        <vt:i4>3014779</vt:i4>
      </vt:variant>
      <vt:variant>
        <vt:i4>3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  <vt:variant>
        <vt:i4>3014779</vt:i4>
      </vt:variant>
      <vt:variant>
        <vt:i4>0</vt:i4>
      </vt:variant>
      <vt:variant>
        <vt:i4>0</vt:i4>
      </vt:variant>
      <vt:variant>
        <vt:i4>5</vt:i4>
      </vt:variant>
      <vt:variant>
        <vt:lpwstr>https://www.20087.com/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市场调研网</dc:creator>
  <cp:lastModifiedBy>市场调研网</cp:lastModifiedBy>
  <cp:revision>60</cp:revision>
  <dcterms:created xsi:type="dcterms:W3CDTF">2024-03-12T03:50:00Z</dcterms:created>
  <dcterms:modified xsi:type="dcterms:W3CDTF">2024-03-12T04:50:00Z</dcterms:modified>
  <dc:subject>2024-2030年中国微生物发酵行业现状研究分析及市场前景预测报告</dc:subject>
  <dc:title>2024-2030年中国微生物发酵行业现状研究分析及市场前景预测报告</dc:title>
  <cp:keywords>2024-2030年中国微生物发酵行业现状研究分析及市场前景预测报告</cp:keywords>
  <dc:description>2024-2030年中国微生物发酵行业现状研究分析及市场前景预测报告</dc:description>
</cp:coreProperties>
</file>